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7E3" w:rsidRDefault="003177E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177E3" w:rsidRDefault="003177E3">
      <w:pPr>
        <w:pStyle w:val="ConsPlusNormal"/>
        <w:jc w:val="both"/>
        <w:outlineLvl w:val="0"/>
      </w:pPr>
    </w:p>
    <w:p w:rsidR="003177E3" w:rsidRDefault="003177E3">
      <w:pPr>
        <w:pStyle w:val="ConsPlusTitle"/>
        <w:jc w:val="center"/>
        <w:outlineLvl w:val="0"/>
      </w:pPr>
      <w:r>
        <w:t>ГОСУДАРСТВЕННЫЙ КОМИТЕТ РЕСПУБЛИКИ КАРЕЛИЯ</w:t>
      </w:r>
    </w:p>
    <w:p w:rsidR="003177E3" w:rsidRDefault="003177E3">
      <w:pPr>
        <w:pStyle w:val="ConsPlusTitle"/>
        <w:jc w:val="center"/>
      </w:pPr>
      <w:r>
        <w:t>ПО ЦЕНАМ И ТАРИФАМ</w:t>
      </w:r>
    </w:p>
    <w:p w:rsidR="003177E3" w:rsidRDefault="003177E3">
      <w:pPr>
        <w:pStyle w:val="ConsPlusTitle"/>
        <w:jc w:val="center"/>
      </w:pPr>
    </w:p>
    <w:p w:rsidR="003177E3" w:rsidRDefault="003177E3">
      <w:pPr>
        <w:pStyle w:val="ConsPlusTitle"/>
        <w:jc w:val="center"/>
      </w:pPr>
      <w:r>
        <w:t>ПОСТАНОВЛЕНИЕ</w:t>
      </w:r>
    </w:p>
    <w:p w:rsidR="003177E3" w:rsidRDefault="003177E3">
      <w:pPr>
        <w:pStyle w:val="ConsPlusTitle"/>
        <w:jc w:val="center"/>
      </w:pPr>
      <w:r>
        <w:t>от 29 ноября 2024 г. N 174</w:t>
      </w:r>
    </w:p>
    <w:p w:rsidR="003177E3" w:rsidRDefault="003177E3">
      <w:pPr>
        <w:pStyle w:val="ConsPlusTitle"/>
        <w:jc w:val="center"/>
      </w:pPr>
    </w:p>
    <w:p w:rsidR="003177E3" w:rsidRDefault="003177E3">
      <w:pPr>
        <w:pStyle w:val="ConsPlusTitle"/>
        <w:jc w:val="center"/>
      </w:pPr>
      <w:r>
        <w:t>ОБ УСТАНОВЛЕНИИ ЕДИНЫХ (КОТЛОВЫХ) ТАРИФОВ</w:t>
      </w:r>
    </w:p>
    <w:p w:rsidR="003177E3" w:rsidRDefault="003177E3">
      <w:pPr>
        <w:pStyle w:val="ConsPlusTitle"/>
        <w:jc w:val="center"/>
      </w:pPr>
      <w:r>
        <w:t>НА УСЛУГИ ПО ПЕРЕДАЧЕ ЭЛЕКТРИЧЕСКОЙ ЭНЕРГИИ ПО СЕТЯМ</w:t>
      </w:r>
    </w:p>
    <w:p w:rsidR="003177E3" w:rsidRDefault="003177E3">
      <w:pPr>
        <w:pStyle w:val="ConsPlusTitle"/>
        <w:jc w:val="center"/>
      </w:pPr>
      <w:r>
        <w:t>РЕСПУБЛИКИ КАРЕЛИЯ, ПОСТАВЛЯЕМОЙ НАСЕЛЕНИЮ И ПРИРАВНЕННЫМ</w:t>
      </w:r>
    </w:p>
    <w:p w:rsidR="003177E3" w:rsidRDefault="003177E3">
      <w:pPr>
        <w:pStyle w:val="ConsPlusTitle"/>
        <w:jc w:val="center"/>
      </w:pPr>
      <w:r>
        <w:t>К НЕМУ КАТЕГОРИЯМ ПОТРЕБИТЕЛЕЙ НА 2025 ГОД</w:t>
      </w:r>
    </w:p>
    <w:p w:rsidR="003177E3" w:rsidRDefault="003177E3">
      <w:pPr>
        <w:pStyle w:val="ConsPlusNormal"/>
        <w:jc w:val="both"/>
      </w:pPr>
    </w:p>
    <w:p w:rsidR="003177E3" w:rsidRDefault="003177E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26 марта 2003 года N 35-ФЗ "Об электроэнергетике",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Республики Карелия от 1 ноября 2010 года N 232-П "Об утверждении Положения о Государственном комитете Республики Карелия по ценам и тарифам" Государственный комитет Республики Карелия по ценам и тарифам постановляет:</w:t>
      </w:r>
    </w:p>
    <w:p w:rsidR="003177E3" w:rsidRDefault="003177E3">
      <w:pPr>
        <w:pStyle w:val="ConsPlusNormal"/>
        <w:spacing w:before="220"/>
        <w:ind w:firstLine="540"/>
        <w:jc w:val="both"/>
      </w:pPr>
      <w:r>
        <w:t xml:space="preserve">1. Установить с 1 января 2025 года по 31 декабря 2025 года единые (котловые) тарифы на услуги по передаче электрической энергии по сетям Республики Карелия, поставляемой населению и приравненным к нему категориям потребителей, согласно </w:t>
      </w:r>
      <w:hyperlink w:anchor="P27">
        <w:r>
          <w:rPr>
            <w:color w:val="0000FF"/>
          </w:rPr>
          <w:t>приложению</w:t>
        </w:r>
      </w:hyperlink>
      <w:r>
        <w:t>.</w:t>
      </w:r>
    </w:p>
    <w:p w:rsidR="003177E3" w:rsidRDefault="003177E3">
      <w:pPr>
        <w:pStyle w:val="ConsPlusNormal"/>
        <w:spacing w:before="220"/>
        <w:ind w:firstLine="540"/>
        <w:jc w:val="both"/>
      </w:pPr>
      <w:r>
        <w:t xml:space="preserve">2. Признать утратившим силу с 1 января 2025 года </w:t>
      </w:r>
      <w:hyperlink r:id="rId8">
        <w:r>
          <w:rPr>
            <w:color w:val="0000FF"/>
          </w:rPr>
          <w:t>постановление</w:t>
        </w:r>
      </w:hyperlink>
      <w:r>
        <w:t xml:space="preserve"> Государственного комитета Республики Карелия по ценам и тарифам от 27 декабря 2023 года N 211 "Об установлении единых (котловых) тарифов на услуги по передаче электрической энергии по сетям Республики Карелия, поставляемой населению и приравненным к нему категориям потребителей, на 2024 год" (Собрание законодательства Республики Карелия, 2023, N 12, ст. 4010).</w:t>
      </w:r>
    </w:p>
    <w:p w:rsidR="003177E3" w:rsidRDefault="003177E3">
      <w:pPr>
        <w:pStyle w:val="ConsPlusNormal"/>
        <w:spacing w:before="220"/>
        <w:ind w:left="540"/>
        <w:jc w:val="both"/>
      </w:pPr>
      <w:r>
        <w:t>3. Настоящее постановление вступает в силу с 1 января 2025 года.</w:t>
      </w:r>
    </w:p>
    <w:p w:rsidR="003177E3" w:rsidRDefault="003177E3">
      <w:pPr>
        <w:pStyle w:val="ConsPlusNormal"/>
        <w:jc w:val="both"/>
      </w:pPr>
    </w:p>
    <w:p w:rsidR="003177E3" w:rsidRDefault="003177E3">
      <w:pPr>
        <w:pStyle w:val="ConsPlusNormal"/>
        <w:jc w:val="right"/>
      </w:pPr>
      <w:r>
        <w:t>Председатель</w:t>
      </w:r>
    </w:p>
    <w:p w:rsidR="003177E3" w:rsidRDefault="003177E3">
      <w:pPr>
        <w:pStyle w:val="ConsPlusNormal"/>
        <w:jc w:val="right"/>
      </w:pPr>
      <w:r>
        <w:t>Государственного комитета</w:t>
      </w:r>
    </w:p>
    <w:p w:rsidR="003177E3" w:rsidRDefault="003177E3">
      <w:pPr>
        <w:pStyle w:val="ConsPlusNormal"/>
        <w:jc w:val="right"/>
      </w:pPr>
      <w:r>
        <w:t>Республики Карелия</w:t>
      </w:r>
    </w:p>
    <w:p w:rsidR="003177E3" w:rsidRDefault="003177E3">
      <w:pPr>
        <w:pStyle w:val="ConsPlusNormal"/>
        <w:jc w:val="right"/>
      </w:pPr>
      <w:r>
        <w:t>по ценам и тарифам</w:t>
      </w:r>
    </w:p>
    <w:p w:rsidR="003177E3" w:rsidRDefault="003177E3">
      <w:pPr>
        <w:pStyle w:val="ConsPlusNormal"/>
        <w:jc w:val="right"/>
      </w:pPr>
      <w:r>
        <w:t>С.В.ХАЗАНОВИЧ</w:t>
      </w:r>
    </w:p>
    <w:p w:rsidR="003177E3" w:rsidRDefault="003177E3">
      <w:pPr>
        <w:pStyle w:val="ConsPlusNormal"/>
        <w:jc w:val="both"/>
      </w:pPr>
    </w:p>
    <w:p w:rsidR="003177E3" w:rsidRDefault="003177E3">
      <w:pPr>
        <w:pStyle w:val="ConsPlusNormal"/>
        <w:jc w:val="both"/>
      </w:pPr>
    </w:p>
    <w:p w:rsidR="003177E3" w:rsidRDefault="003177E3">
      <w:pPr>
        <w:pStyle w:val="ConsPlusNormal"/>
        <w:jc w:val="both"/>
      </w:pPr>
    </w:p>
    <w:p w:rsidR="003177E3" w:rsidRDefault="003177E3">
      <w:pPr>
        <w:pStyle w:val="ConsPlusNormal"/>
        <w:jc w:val="both"/>
      </w:pPr>
    </w:p>
    <w:p w:rsidR="003177E3" w:rsidRDefault="003177E3">
      <w:pPr>
        <w:pStyle w:val="ConsPlusNormal"/>
        <w:jc w:val="both"/>
      </w:pPr>
    </w:p>
    <w:p w:rsidR="003177E3" w:rsidRDefault="003177E3">
      <w:pPr>
        <w:pStyle w:val="ConsPlusNormal"/>
        <w:jc w:val="right"/>
        <w:outlineLvl w:val="0"/>
      </w:pPr>
      <w:bookmarkStart w:id="0" w:name="P27"/>
      <w:bookmarkEnd w:id="0"/>
      <w:r>
        <w:t>Приложение</w:t>
      </w:r>
    </w:p>
    <w:p w:rsidR="003177E3" w:rsidRDefault="003177E3">
      <w:pPr>
        <w:pStyle w:val="ConsPlusNormal"/>
        <w:jc w:val="right"/>
      </w:pPr>
      <w:r>
        <w:t>к постановлению</w:t>
      </w:r>
    </w:p>
    <w:p w:rsidR="003177E3" w:rsidRDefault="003177E3">
      <w:pPr>
        <w:pStyle w:val="ConsPlusNormal"/>
        <w:jc w:val="right"/>
      </w:pPr>
      <w:r>
        <w:t>Государственного комитета</w:t>
      </w:r>
    </w:p>
    <w:p w:rsidR="003177E3" w:rsidRDefault="003177E3">
      <w:pPr>
        <w:pStyle w:val="ConsPlusNormal"/>
        <w:jc w:val="right"/>
      </w:pPr>
      <w:r>
        <w:t>Республики Карелия</w:t>
      </w:r>
    </w:p>
    <w:p w:rsidR="003177E3" w:rsidRDefault="003177E3">
      <w:pPr>
        <w:pStyle w:val="ConsPlusNormal"/>
        <w:jc w:val="right"/>
      </w:pPr>
      <w:r>
        <w:t>по ценам и тарифам</w:t>
      </w:r>
    </w:p>
    <w:p w:rsidR="003177E3" w:rsidRDefault="003177E3">
      <w:pPr>
        <w:pStyle w:val="ConsPlusNormal"/>
        <w:jc w:val="right"/>
      </w:pPr>
      <w:r>
        <w:t>от 29.11.2024 N 174</w:t>
      </w:r>
    </w:p>
    <w:p w:rsidR="003177E3" w:rsidRDefault="003177E3">
      <w:pPr>
        <w:pStyle w:val="ConsPlusNormal"/>
        <w:jc w:val="both"/>
      </w:pPr>
    </w:p>
    <w:p w:rsidR="003177E3" w:rsidRDefault="003177E3">
      <w:pPr>
        <w:pStyle w:val="ConsPlusTitle"/>
        <w:jc w:val="center"/>
        <w:outlineLvl w:val="1"/>
      </w:pPr>
      <w:r>
        <w:t>Единые (котловые) тарифы</w:t>
      </w:r>
    </w:p>
    <w:p w:rsidR="003177E3" w:rsidRDefault="003177E3">
      <w:pPr>
        <w:pStyle w:val="ConsPlusTitle"/>
        <w:jc w:val="center"/>
      </w:pPr>
      <w:r>
        <w:t>на услуги по передаче электрической энергии</w:t>
      </w:r>
    </w:p>
    <w:p w:rsidR="003177E3" w:rsidRDefault="003177E3">
      <w:pPr>
        <w:pStyle w:val="ConsPlusTitle"/>
        <w:jc w:val="center"/>
      </w:pPr>
      <w:r>
        <w:t>по сетям Республики Карелия, поставляемой населению</w:t>
      </w:r>
    </w:p>
    <w:p w:rsidR="003177E3" w:rsidRDefault="003177E3">
      <w:pPr>
        <w:pStyle w:val="ConsPlusTitle"/>
        <w:jc w:val="center"/>
      </w:pPr>
      <w:r>
        <w:t>и приравненным к нему категориям потребителей,</w:t>
      </w:r>
    </w:p>
    <w:p w:rsidR="003177E3" w:rsidRDefault="003177E3">
      <w:pPr>
        <w:pStyle w:val="ConsPlusTitle"/>
        <w:jc w:val="center"/>
      </w:pPr>
      <w:r>
        <w:lastRenderedPageBreak/>
        <w:t>на 2025 год</w:t>
      </w:r>
    </w:p>
    <w:p w:rsidR="003177E3" w:rsidRDefault="003177E3">
      <w:pPr>
        <w:pStyle w:val="ConsPlusNormal"/>
        <w:jc w:val="both"/>
      </w:pPr>
    </w:p>
    <w:p w:rsidR="003177E3" w:rsidRDefault="003177E3">
      <w:pPr>
        <w:pStyle w:val="ConsPlusTitle"/>
        <w:jc w:val="center"/>
        <w:outlineLvl w:val="2"/>
      </w:pPr>
      <w:r>
        <w:t>Для первого диапазона потребления</w:t>
      </w:r>
    </w:p>
    <w:p w:rsidR="003177E3" w:rsidRDefault="003177E3">
      <w:pPr>
        <w:pStyle w:val="ConsPlusTitle"/>
        <w:jc w:val="center"/>
      </w:pPr>
      <w:r>
        <w:t>электрической энергии (мощности)</w:t>
      </w:r>
    </w:p>
    <w:p w:rsidR="003177E3" w:rsidRDefault="003177E3">
      <w:pPr>
        <w:pStyle w:val="ConsPlusNormal"/>
        <w:jc w:val="both"/>
      </w:pPr>
    </w:p>
    <w:p w:rsidR="003177E3" w:rsidRDefault="003177E3">
      <w:pPr>
        <w:pStyle w:val="ConsPlusNormal"/>
        <w:sectPr w:rsidR="003177E3" w:rsidSect="00E736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4656"/>
        <w:gridCol w:w="1392"/>
        <w:gridCol w:w="2608"/>
        <w:gridCol w:w="4195"/>
      </w:tblGrid>
      <w:tr w:rsidR="003177E3">
        <w:tc>
          <w:tcPr>
            <w:tcW w:w="737" w:type="dxa"/>
          </w:tcPr>
          <w:p w:rsidR="003177E3" w:rsidRDefault="003177E3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656" w:type="dxa"/>
          </w:tcPr>
          <w:p w:rsidR="003177E3" w:rsidRDefault="003177E3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4195" w:type="dxa"/>
          </w:tcPr>
          <w:p w:rsidR="003177E3" w:rsidRDefault="003177E3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177E3">
        <w:tc>
          <w:tcPr>
            <w:tcW w:w="737" w:type="dxa"/>
          </w:tcPr>
          <w:p w:rsidR="003177E3" w:rsidRDefault="003177E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56" w:type="dxa"/>
          </w:tcPr>
          <w:p w:rsidR="003177E3" w:rsidRDefault="003177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95" w:type="dxa"/>
          </w:tcPr>
          <w:p w:rsidR="003177E3" w:rsidRDefault="003177E3">
            <w:pPr>
              <w:pStyle w:val="ConsPlusNormal"/>
              <w:jc w:val="center"/>
            </w:pPr>
            <w:r>
              <w:t>5</w:t>
            </w:r>
          </w:p>
        </w:tc>
      </w:tr>
      <w:tr w:rsidR="003177E3">
        <w:tc>
          <w:tcPr>
            <w:tcW w:w="737" w:type="dxa"/>
          </w:tcPr>
          <w:p w:rsidR="003177E3" w:rsidRDefault="003177E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851" w:type="dxa"/>
            <w:gridSpan w:val="4"/>
          </w:tcPr>
          <w:p w:rsidR="003177E3" w:rsidRDefault="003177E3">
            <w:pPr>
              <w:pStyle w:val="ConsPlusNormal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3177E3">
        <w:tc>
          <w:tcPr>
            <w:tcW w:w="737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2851" w:type="dxa"/>
            <w:gridSpan w:val="4"/>
          </w:tcPr>
          <w:p w:rsidR="003177E3" w:rsidRDefault="003177E3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64">
              <w:r>
                <w:rPr>
                  <w:color w:val="0000FF"/>
                </w:rPr>
                <w:t>строках 1.2</w:t>
              </w:r>
            </w:hyperlink>
            <w:r>
              <w:t>-</w:t>
            </w:r>
            <w:hyperlink w:anchor="P118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  <w:p w:rsidR="003177E3" w:rsidRDefault="003177E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737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2,48350</w:t>
            </w:r>
          </w:p>
        </w:tc>
        <w:tc>
          <w:tcPr>
            <w:tcW w:w="4195" w:type="dxa"/>
          </w:tcPr>
          <w:p w:rsidR="003177E3" w:rsidRDefault="003177E3">
            <w:pPr>
              <w:pStyle w:val="ConsPlusNormal"/>
              <w:jc w:val="center"/>
            </w:pPr>
            <w:r>
              <w:t>2,79522</w:t>
            </w:r>
          </w:p>
        </w:tc>
      </w:tr>
      <w:tr w:rsidR="003177E3">
        <w:tc>
          <w:tcPr>
            <w:tcW w:w="737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bookmarkStart w:id="1" w:name="P64"/>
            <w:bookmarkEnd w:id="1"/>
            <w:r>
              <w:t>1.2.</w:t>
            </w:r>
          </w:p>
        </w:tc>
        <w:tc>
          <w:tcPr>
            <w:tcW w:w="1285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</w:t>
            </w:r>
            <w:r>
              <w:lastRenderedPageBreak/>
              <w:t>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737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1,28350</w:t>
            </w:r>
          </w:p>
        </w:tc>
        <w:tc>
          <w:tcPr>
            <w:tcW w:w="4195" w:type="dxa"/>
          </w:tcPr>
          <w:p w:rsidR="003177E3" w:rsidRDefault="003177E3">
            <w:pPr>
              <w:pStyle w:val="ConsPlusNormal"/>
              <w:jc w:val="center"/>
            </w:pPr>
            <w:r>
              <w:t>1,44522</w:t>
            </w:r>
          </w:p>
        </w:tc>
      </w:tr>
      <w:tr w:rsidR="003177E3">
        <w:tc>
          <w:tcPr>
            <w:tcW w:w="737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285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737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1,28350</w:t>
            </w:r>
          </w:p>
        </w:tc>
        <w:tc>
          <w:tcPr>
            <w:tcW w:w="4195" w:type="dxa"/>
          </w:tcPr>
          <w:p w:rsidR="003177E3" w:rsidRDefault="003177E3">
            <w:pPr>
              <w:pStyle w:val="ConsPlusNormal"/>
              <w:jc w:val="center"/>
            </w:pPr>
            <w:r>
              <w:t>1,44522</w:t>
            </w:r>
          </w:p>
        </w:tc>
      </w:tr>
      <w:tr w:rsidR="003177E3">
        <w:tc>
          <w:tcPr>
            <w:tcW w:w="737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285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177E3" w:rsidRDefault="003177E3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</w:t>
            </w:r>
            <w:r>
              <w:lastRenderedPageBreak/>
              <w:t>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737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1,28350</w:t>
            </w:r>
          </w:p>
        </w:tc>
        <w:tc>
          <w:tcPr>
            <w:tcW w:w="4195" w:type="dxa"/>
          </w:tcPr>
          <w:p w:rsidR="003177E3" w:rsidRDefault="003177E3">
            <w:pPr>
              <w:pStyle w:val="ConsPlusNormal"/>
              <w:jc w:val="center"/>
            </w:pPr>
            <w:r>
              <w:t>1,44522</w:t>
            </w:r>
          </w:p>
        </w:tc>
      </w:tr>
      <w:tr w:rsidR="003177E3">
        <w:tc>
          <w:tcPr>
            <w:tcW w:w="737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bookmarkStart w:id="2" w:name="P91"/>
            <w:bookmarkEnd w:id="2"/>
            <w:r>
              <w:t>1.5.</w:t>
            </w:r>
          </w:p>
        </w:tc>
        <w:tc>
          <w:tcPr>
            <w:tcW w:w="1285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737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 xml:space="preserve">Одноставочный тариф (в том числе </w:t>
            </w:r>
            <w:r>
              <w:lastRenderedPageBreak/>
              <w:t>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lastRenderedPageBreak/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1,28350</w:t>
            </w:r>
          </w:p>
        </w:tc>
        <w:tc>
          <w:tcPr>
            <w:tcW w:w="4195" w:type="dxa"/>
          </w:tcPr>
          <w:p w:rsidR="003177E3" w:rsidRDefault="003177E3">
            <w:pPr>
              <w:pStyle w:val="ConsPlusNormal"/>
              <w:jc w:val="center"/>
            </w:pPr>
            <w:r>
              <w:t>1,44522</w:t>
            </w:r>
          </w:p>
        </w:tc>
      </w:tr>
      <w:tr w:rsidR="003177E3">
        <w:tc>
          <w:tcPr>
            <w:tcW w:w="737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1285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737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1,28350</w:t>
            </w:r>
          </w:p>
        </w:tc>
        <w:tc>
          <w:tcPr>
            <w:tcW w:w="4195" w:type="dxa"/>
          </w:tcPr>
          <w:p w:rsidR="003177E3" w:rsidRDefault="003177E3">
            <w:pPr>
              <w:pStyle w:val="ConsPlusNormal"/>
              <w:jc w:val="center"/>
            </w:pPr>
            <w:r>
              <w:t>1,44522</w:t>
            </w:r>
          </w:p>
        </w:tc>
      </w:tr>
      <w:tr w:rsidR="003177E3">
        <w:tc>
          <w:tcPr>
            <w:tcW w:w="737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bookmarkStart w:id="3" w:name="P109"/>
            <w:bookmarkEnd w:id="3"/>
            <w:r>
              <w:t>1.7.</w:t>
            </w:r>
          </w:p>
        </w:tc>
        <w:tc>
          <w:tcPr>
            <w:tcW w:w="1285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</w:t>
            </w:r>
            <w:r>
              <w:lastRenderedPageBreak/>
              <w:t>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737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1,28350</w:t>
            </w:r>
          </w:p>
        </w:tc>
        <w:tc>
          <w:tcPr>
            <w:tcW w:w="4195" w:type="dxa"/>
          </w:tcPr>
          <w:p w:rsidR="003177E3" w:rsidRDefault="003177E3">
            <w:pPr>
              <w:pStyle w:val="ConsPlusNormal"/>
              <w:jc w:val="center"/>
            </w:pPr>
            <w:r>
              <w:t>1,44522</w:t>
            </w:r>
          </w:p>
        </w:tc>
      </w:tr>
      <w:tr w:rsidR="003177E3">
        <w:tc>
          <w:tcPr>
            <w:tcW w:w="737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bookmarkStart w:id="4" w:name="P118"/>
            <w:bookmarkEnd w:id="4"/>
            <w:r>
              <w:t>1.8.</w:t>
            </w:r>
          </w:p>
        </w:tc>
        <w:tc>
          <w:tcPr>
            <w:tcW w:w="1285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91">
              <w:r>
                <w:rPr>
                  <w:color w:val="0000FF"/>
                </w:rPr>
                <w:t>строках 1.5</w:t>
              </w:r>
            </w:hyperlink>
            <w:r>
              <w:t>-</w:t>
            </w:r>
            <w:hyperlink w:anchor="P109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737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1,28350</w:t>
            </w:r>
          </w:p>
        </w:tc>
        <w:tc>
          <w:tcPr>
            <w:tcW w:w="4195" w:type="dxa"/>
          </w:tcPr>
          <w:p w:rsidR="003177E3" w:rsidRDefault="003177E3">
            <w:pPr>
              <w:pStyle w:val="ConsPlusNormal"/>
              <w:jc w:val="center"/>
            </w:pPr>
            <w:r>
              <w:t>1,44522</w:t>
            </w:r>
          </w:p>
        </w:tc>
      </w:tr>
      <w:tr w:rsidR="003177E3">
        <w:tc>
          <w:tcPr>
            <w:tcW w:w="737" w:type="dxa"/>
          </w:tcPr>
          <w:p w:rsidR="003177E3" w:rsidRDefault="003177E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85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3177E3">
        <w:tc>
          <w:tcPr>
            <w:tcW w:w="737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285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</w:t>
            </w:r>
            <w:r>
              <w:lastRenderedPageBreak/>
              <w:t>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3177E3">
        <w:tc>
          <w:tcPr>
            <w:tcW w:w="737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2,48350</w:t>
            </w:r>
          </w:p>
        </w:tc>
        <w:tc>
          <w:tcPr>
            <w:tcW w:w="4195" w:type="dxa"/>
          </w:tcPr>
          <w:p w:rsidR="003177E3" w:rsidRDefault="003177E3">
            <w:pPr>
              <w:pStyle w:val="ConsPlusNormal"/>
              <w:jc w:val="center"/>
            </w:pPr>
            <w:r>
              <w:t>2,79522</w:t>
            </w:r>
          </w:p>
        </w:tc>
      </w:tr>
      <w:tr w:rsidR="003177E3">
        <w:tc>
          <w:tcPr>
            <w:tcW w:w="737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285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3177E3">
        <w:tc>
          <w:tcPr>
            <w:tcW w:w="737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1,28350</w:t>
            </w:r>
          </w:p>
        </w:tc>
        <w:tc>
          <w:tcPr>
            <w:tcW w:w="4195" w:type="dxa"/>
          </w:tcPr>
          <w:p w:rsidR="003177E3" w:rsidRDefault="003177E3">
            <w:pPr>
              <w:pStyle w:val="ConsPlusNormal"/>
              <w:jc w:val="center"/>
            </w:pPr>
            <w:r>
              <w:t>1,44522</w:t>
            </w:r>
          </w:p>
        </w:tc>
      </w:tr>
      <w:tr w:rsidR="003177E3">
        <w:tc>
          <w:tcPr>
            <w:tcW w:w="737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285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3177E3">
        <w:tc>
          <w:tcPr>
            <w:tcW w:w="737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2,48350</w:t>
            </w:r>
          </w:p>
        </w:tc>
        <w:tc>
          <w:tcPr>
            <w:tcW w:w="4195" w:type="dxa"/>
          </w:tcPr>
          <w:p w:rsidR="003177E3" w:rsidRDefault="003177E3">
            <w:pPr>
              <w:pStyle w:val="ConsPlusNormal"/>
              <w:jc w:val="center"/>
            </w:pPr>
            <w:r>
              <w:t>2,79522</w:t>
            </w:r>
          </w:p>
        </w:tc>
      </w:tr>
      <w:tr w:rsidR="003177E3">
        <w:tc>
          <w:tcPr>
            <w:tcW w:w="737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285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 xml:space="preserve"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</w:t>
            </w:r>
            <w:r>
              <w:lastRenderedPageBreak/>
              <w:t>общего прибора учета электрической энергии</w:t>
            </w:r>
          </w:p>
        </w:tc>
      </w:tr>
      <w:tr w:rsidR="003177E3">
        <w:tc>
          <w:tcPr>
            <w:tcW w:w="737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2,48350</w:t>
            </w:r>
          </w:p>
        </w:tc>
        <w:tc>
          <w:tcPr>
            <w:tcW w:w="4195" w:type="dxa"/>
          </w:tcPr>
          <w:p w:rsidR="003177E3" w:rsidRDefault="003177E3">
            <w:pPr>
              <w:pStyle w:val="ConsPlusNormal"/>
              <w:jc w:val="center"/>
            </w:pPr>
            <w:r>
              <w:t>2,79522</w:t>
            </w:r>
          </w:p>
        </w:tc>
      </w:tr>
      <w:tr w:rsidR="003177E3">
        <w:tc>
          <w:tcPr>
            <w:tcW w:w="737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285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3177E3">
        <w:tc>
          <w:tcPr>
            <w:tcW w:w="737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2,48350</w:t>
            </w:r>
          </w:p>
        </w:tc>
        <w:tc>
          <w:tcPr>
            <w:tcW w:w="4195" w:type="dxa"/>
          </w:tcPr>
          <w:p w:rsidR="003177E3" w:rsidRDefault="003177E3">
            <w:pPr>
              <w:pStyle w:val="ConsPlusNormal"/>
              <w:jc w:val="center"/>
            </w:pPr>
            <w:r>
              <w:t>2,79522</w:t>
            </w:r>
          </w:p>
        </w:tc>
      </w:tr>
      <w:tr w:rsidR="003177E3">
        <w:tc>
          <w:tcPr>
            <w:tcW w:w="737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285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3177E3" w:rsidRDefault="003177E3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3177E3">
        <w:tc>
          <w:tcPr>
            <w:tcW w:w="737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2,48350</w:t>
            </w:r>
          </w:p>
        </w:tc>
        <w:tc>
          <w:tcPr>
            <w:tcW w:w="4195" w:type="dxa"/>
          </w:tcPr>
          <w:p w:rsidR="003177E3" w:rsidRDefault="003177E3">
            <w:pPr>
              <w:pStyle w:val="ConsPlusNormal"/>
              <w:jc w:val="center"/>
            </w:pPr>
            <w:r>
              <w:t>2,79522</w:t>
            </w:r>
          </w:p>
        </w:tc>
      </w:tr>
    </w:tbl>
    <w:p w:rsidR="003177E3" w:rsidRDefault="003177E3">
      <w:pPr>
        <w:pStyle w:val="ConsPlusNormal"/>
        <w:jc w:val="both"/>
      </w:pPr>
    </w:p>
    <w:p w:rsidR="003177E3" w:rsidRDefault="003177E3">
      <w:pPr>
        <w:pStyle w:val="ConsPlusNormal"/>
        <w:ind w:firstLine="540"/>
        <w:jc w:val="both"/>
      </w:pPr>
      <w:r>
        <w:t>Примечание: Диапазоны объемов потребления электрической энергии определяются в соответствии с постановлением Государственного комитета Республики Карелия по ценам и тарифам от 29.11.2024 N 167.</w:t>
      </w:r>
    </w:p>
    <w:p w:rsidR="003177E3" w:rsidRDefault="003177E3">
      <w:pPr>
        <w:pStyle w:val="ConsPlusNormal"/>
        <w:jc w:val="both"/>
      </w:pPr>
    </w:p>
    <w:p w:rsidR="003177E3" w:rsidRDefault="003177E3">
      <w:pPr>
        <w:pStyle w:val="ConsPlusTitle"/>
        <w:jc w:val="center"/>
        <w:outlineLvl w:val="1"/>
      </w:pPr>
      <w:r>
        <w:t>Единые (котловые) тарифы на услуги</w:t>
      </w:r>
    </w:p>
    <w:p w:rsidR="003177E3" w:rsidRDefault="003177E3">
      <w:pPr>
        <w:pStyle w:val="ConsPlusTitle"/>
        <w:jc w:val="center"/>
      </w:pPr>
      <w:r>
        <w:t>по передаче электрической энергии по сетям</w:t>
      </w:r>
    </w:p>
    <w:p w:rsidR="003177E3" w:rsidRDefault="003177E3">
      <w:pPr>
        <w:pStyle w:val="ConsPlusTitle"/>
        <w:jc w:val="center"/>
      </w:pPr>
      <w:r>
        <w:t>Республики Карелия, поставляемой населению и приравненным</w:t>
      </w:r>
    </w:p>
    <w:p w:rsidR="003177E3" w:rsidRDefault="003177E3">
      <w:pPr>
        <w:pStyle w:val="ConsPlusTitle"/>
        <w:jc w:val="center"/>
      </w:pPr>
      <w:r>
        <w:t>к нему категориям потребителей, на 2025 год</w:t>
      </w:r>
    </w:p>
    <w:p w:rsidR="003177E3" w:rsidRDefault="003177E3">
      <w:pPr>
        <w:pStyle w:val="ConsPlusNormal"/>
        <w:jc w:val="both"/>
      </w:pPr>
    </w:p>
    <w:p w:rsidR="003177E3" w:rsidRDefault="003177E3">
      <w:pPr>
        <w:pStyle w:val="ConsPlusTitle"/>
        <w:jc w:val="center"/>
        <w:outlineLvl w:val="2"/>
      </w:pPr>
      <w:r>
        <w:t>Для второго диапазона потребления</w:t>
      </w:r>
    </w:p>
    <w:p w:rsidR="003177E3" w:rsidRDefault="003177E3">
      <w:pPr>
        <w:pStyle w:val="ConsPlusTitle"/>
        <w:jc w:val="center"/>
      </w:pPr>
      <w:r>
        <w:t>электрической энергии (мощности)</w:t>
      </w:r>
    </w:p>
    <w:p w:rsidR="003177E3" w:rsidRDefault="003177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5"/>
        <w:gridCol w:w="4656"/>
        <w:gridCol w:w="1392"/>
        <w:gridCol w:w="2608"/>
        <w:gridCol w:w="3969"/>
      </w:tblGrid>
      <w:tr w:rsidR="003177E3">
        <w:tc>
          <w:tcPr>
            <w:tcW w:w="955" w:type="dxa"/>
          </w:tcPr>
          <w:p w:rsidR="003177E3" w:rsidRDefault="003177E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56" w:type="dxa"/>
          </w:tcPr>
          <w:p w:rsidR="003177E3" w:rsidRDefault="003177E3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3969" w:type="dxa"/>
          </w:tcPr>
          <w:p w:rsidR="003177E3" w:rsidRDefault="003177E3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177E3">
        <w:tc>
          <w:tcPr>
            <w:tcW w:w="955" w:type="dxa"/>
          </w:tcPr>
          <w:p w:rsidR="003177E3" w:rsidRDefault="003177E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656" w:type="dxa"/>
          </w:tcPr>
          <w:p w:rsidR="003177E3" w:rsidRDefault="003177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969" w:type="dxa"/>
          </w:tcPr>
          <w:p w:rsidR="003177E3" w:rsidRDefault="003177E3">
            <w:pPr>
              <w:pStyle w:val="ConsPlusNormal"/>
              <w:jc w:val="center"/>
            </w:pPr>
            <w:r>
              <w:t>5</w:t>
            </w:r>
          </w:p>
        </w:tc>
      </w:tr>
      <w:tr w:rsidR="003177E3">
        <w:tc>
          <w:tcPr>
            <w:tcW w:w="955" w:type="dxa"/>
          </w:tcPr>
          <w:p w:rsidR="003177E3" w:rsidRDefault="003177E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25" w:type="dxa"/>
            <w:gridSpan w:val="4"/>
          </w:tcPr>
          <w:p w:rsidR="003177E3" w:rsidRDefault="003177E3">
            <w:pPr>
              <w:pStyle w:val="ConsPlusNormal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3177E3">
        <w:tc>
          <w:tcPr>
            <w:tcW w:w="955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2625" w:type="dxa"/>
            <w:gridSpan w:val="4"/>
          </w:tcPr>
          <w:p w:rsidR="003177E3" w:rsidRDefault="003177E3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200">
              <w:r>
                <w:rPr>
                  <w:color w:val="0000FF"/>
                </w:rPr>
                <w:t>строках 1.2</w:t>
              </w:r>
            </w:hyperlink>
            <w:r>
              <w:t>-</w:t>
            </w:r>
            <w:hyperlink w:anchor="P254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  <w:p w:rsidR="003177E3" w:rsidRDefault="003177E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955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2,49183</w:t>
            </w:r>
          </w:p>
        </w:tc>
        <w:tc>
          <w:tcPr>
            <w:tcW w:w="3969" w:type="dxa"/>
          </w:tcPr>
          <w:p w:rsidR="003177E3" w:rsidRDefault="003177E3">
            <w:pPr>
              <w:pStyle w:val="ConsPlusNormal"/>
              <w:jc w:val="center"/>
            </w:pPr>
            <w:r>
              <w:t>4,55309</w:t>
            </w:r>
          </w:p>
        </w:tc>
      </w:tr>
      <w:tr w:rsidR="003177E3">
        <w:tc>
          <w:tcPr>
            <w:tcW w:w="955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bookmarkStart w:id="5" w:name="P200"/>
            <w:bookmarkEnd w:id="5"/>
            <w:r>
              <w:t>1.2.</w:t>
            </w:r>
          </w:p>
        </w:tc>
        <w:tc>
          <w:tcPr>
            <w:tcW w:w="12625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</w:t>
            </w:r>
            <w:r>
              <w:lastRenderedPageBreak/>
              <w:t>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955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дифференцированным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1,29183</w:t>
            </w:r>
          </w:p>
        </w:tc>
        <w:tc>
          <w:tcPr>
            <w:tcW w:w="3969" w:type="dxa"/>
          </w:tcPr>
          <w:p w:rsidR="003177E3" w:rsidRDefault="003177E3">
            <w:pPr>
              <w:pStyle w:val="ConsPlusNormal"/>
              <w:jc w:val="center"/>
            </w:pPr>
            <w:r>
              <w:t>2,67855</w:t>
            </w:r>
          </w:p>
        </w:tc>
      </w:tr>
      <w:tr w:rsidR="003177E3">
        <w:tc>
          <w:tcPr>
            <w:tcW w:w="955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2625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955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1,29183</w:t>
            </w:r>
          </w:p>
        </w:tc>
        <w:tc>
          <w:tcPr>
            <w:tcW w:w="3969" w:type="dxa"/>
          </w:tcPr>
          <w:p w:rsidR="003177E3" w:rsidRDefault="003177E3">
            <w:pPr>
              <w:pStyle w:val="ConsPlusNormal"/>
              <w:jc w:val="center"/>
            </w:pPr>
            <w:r>
              <w:t>2,67855</w:t>
            </w:r>
          </w:p>
        </w:tc>
      </w:tr>
      <w:tr w:rsidR="003177E3">
        <w:tc>
          <w:tcPr>
            <w:tcW w:w="955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2625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177E3" w:rsidRDefault="003177E3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</w:t>
            </w:r>
            <w:r>
              <w:lastRenderedPageBreak/>
              <w:t>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955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1,29183</w:t>
            </w:r>
          </w:p>
        </w:tc>
        <w:tc>
          <w:tcPr>
            <w:tcW w:w="3969" w:type="dxa"/>
          </w:tcPr>
          <w:p w:rsidR="003177E3" w:rsidRDefault="003177E3">
            <w:pPr>
              <w:pStyle w:val="ConsPlusNormal"/>
              <w:jc w:val="center"/>
            </w:pPr>
            <w:r>
              <w:t>2,67855</w:t>
            </w:r>
          </w:p>
        </w:tc>
      </w:tr>
      <w:tr w:rsidR="003177E3">
        <w:tc>
          <w:tcPr>
            <w:tcW w:w="955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bookmarkStart w:id="6" w:name="P227"/>
            <w:bookmarkEnd w:id="6"/>
            <w:r>
              <w:t>1.5.</w:t>
            </w:r>
          </w:p>
        </w:tc>
        <w:tc>
          <w:tcPr>
            <w:tcW w:w="12625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955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1,29183</w:t>
            </w:r>
          </w:p>
        </w:tc>
        <w:tc>
          <w:tcPr>
            <w:tcW w:w="3969" w:type="dxa"/>
          </w:tcPr>
          <w:p w:rsidR="003177E3" w:rsidRDefault="003177E3">
            <w:pPr>
              <w:pStyle w:val="ConsPlusNormal"/>
              <w:jc w:val="center"/>
            </w:pPr>
            <w:r>
              <w:t>2,67855</w:t>
            </w:r>
          </w:p>
        </w:tc>
      </w:tr>
      <w:tr w:rsidR="003177E3">
        <w:tc>
          <w:tcPr>
            <w:tcW w:w="955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12625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955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1,29183</w:t>
            </w:r>
          </w:p>
        </w:tc>
        <w:tc>
          <w:tcPr>
            <w:tcW w:w="3969" w:type="dxa"/>
          </w:tcPr>
          <w:p w:rsidR="003177E3" w:rsidRDefault="003177E3">
            <w:pPr>
              <w:pStyle w:val="ConsPlusNormal"/>
              <w:jc w:val="center"/>
            </w:pPr>
            <w:r>
              <w:t>2,67855</w:t>
            </w:r>
          </w:p>
        </w:tc>
      </w:tr>
      <w:tr w:rsidR="003177E3">
        <w:tc>
          <w:tcPr>
            <w:tcW w:w="955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bookmarkStart w:id="7" w:name="P245"/>
            <w:bookmarkEnd w:id="7"/>
            <w:r>
              <w:t>1.7.</w:t>
            </w:r>
          </w:p>
        </w:tc>
        <w:tc>
          <w:tcPr>
            <w:tcW w:w="12625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</w:t>
            </w:r>
            <w:r>
              <w:lastRenderedPageBreak/>
              <w:t>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955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1,29183</w:t>
            </w:r>
          </w:p>
        </w:tc>
        <w:tc>
          <w:tcPr>
            <w:tcW w:w="3969" w:type="dxa"/>
          </w:tcPr>
          <w:p w:rsidR="003177E3" w:rsidRDefault="003177E3">
            <w:pPr>
              <w:pStyle w:val="ConsPlusNormal"/>
              <w:jc w:val="center"/>
            </w:pPr>
            <w:r>
              <w:t>2,67855</w:t>
            </w:r>
          </w:p>
        </w:tc>
      </w:tr>
      <w:tr w:rsidR="003177E3">
        <w:tc>
          <w:tcPr>
            <w:tcW w:w="955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bookmarkStart w:id="8" w:name="P254"/>
            <w:bookmarkEnd w:id="8"/>
            <w:r>
              <w:t>1.8.</w:t>
            </w:r>
          </w:p>
        </w:tc>
        <w:tc>
          <w:tcPr>
            <w:tcW w:w="12625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 категории потребителей, за исключением населения и потребителей, указанных в </w:t>
            </w:r>
            <w:hyperlink w:anchor="P227">
              <w:r>
                <w:rPr>
                  <w:color w:val="0000FF"/>
                </w:rPr>
                <w:t>строках 1.5</w:t>
              </w:r>
            </w:hyperlink>
            <w:r>
              <w:t>-</w:t>
            </w:r>
            <w:hyperlink w:anchor="P245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955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1,29183</w:t>
            </w:r>
          </w:p>
        </w:tc>
        <w:tc>
          <w:tcPr>
            <w:tcW w:w="3969" w:type="dxa"/>
          </w:tcPr>
          <w:p w:rsidR="003177E3" w:rsidRDefault="003177E3">
            <w:pPr>
              <w:pStyle w:val="ConsPlusNormal"/>
              <w:jc w:val="center"/>
            </w:pPr>
            <w:r>
              <w:t>2,67855</w:t>
            </w:r>
          </w:p>
        </w:tc>
      </w:tr>
      <w:tr w:rsidR="003177E3">
        <w:tc>
          <w:tcPr>
            <w:tcW w:w="955" w:type="dxa"/>
          </w:tcPr>
          <w:p w:rsidR="003177E3" w:rsidRDefault="003177E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625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3177E3">
        <w:tc>
          <w:tcPr>
            <w:tcW w:w="955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2625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</w:t>
            </w:r>
            <w:r>
              <w:lastRenderedPageBreak/>
              <w:t>энергии населения и объемах электрической энергии, израсходованной на места общего пользования, за исключением: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3177E3">
        <w:tc>
          <w:tcPr>
            <w:tcW w:w="955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2,49183</w:t>
            </w:r>
          </w:p>
        </w:tc>
        <w:tc>
          <w:tcPr>
            <w:tcW w:w="3969" w:type="dxa"/>
          </w:tcPr>
          <w:p w:rsidR="003177E3" w:rsidRDefault="003177E3">
            <w:pPr>
              <w:pStyle w:val="ConsPlusNormal"/>
              <w:jc w:val="center"/>
            </w:pPr>
            <w:r>
              <w:t>4,55309</w:t>
            </w:r>
          </w:p>
        </w:tc>
      </w:tr>
      <w:tr w:rsidR="003177E3">
        <w:tc>
          <w:tcPr>
            <w:tcW w:w="955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2625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3177E3">
        <w:tc>
          <w:tcPr>
            <w:tcW w:w="955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1,29183</w:t>
            </w:r>
          </w:p>
        </w:tc>
        <w:tc>
          <w:tcPr>
            <w:tcW w:w="3969" w:type="dxa"/>
          </w:tcPr>
          <w:p w:rsidR="003177E3" w:rsidRDefault="003177E3">
            <w:pPr>
              <w:pStyle w:val="ConsPlusNormal"/>
              <w:jc w:val="center"/>
            </w:pPr>
            <w:r>
              <w:t>2,67855</w:t>
            </w:r>
          </w:p>
        </w:tc>
      </w:tr>
      <w:tr w:rsidR="003177E3">
        <w:tc>
          <w:tcPr>
            <w:tcW w:w="955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2625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3177E3">
        <w:tc>
          <w:tcPr>
            <w:tcW w:w="955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2,49183</w:t>
            </w:r>
          </w:p>
        </w:tc>
        <w:tc>
          <w:tcPr>
            <w:tcW w:w="3969" w:type="dxa"/>
          </w:tcPr>
          <w:p w:rsidR="003177E3" w:rsidRDefault="003177E3">
            <w:pPr>
              <w:pStyle w:val="ConsPlusNormal"/>
              <w:jc w:val="center"/>
            </w:pPr>
            <w:r>
              <w:t>4,55309</w:t>
            </w:r>
          </w:p>
        </w:tc>
      </w:tr>
      <w:tr w:rsidR="003177E3">
        <w:tc>
          <w:tcPr>
            <w:tcW w:w="955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2625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3177E3">
        <w:tc>
          <w:tcPr>
            <w:tcW w:w="955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 xml:space="preserve">Одноставочный тариф (в том числе </w:t>
            </w:r>
            <w:r>
              <w:lastRenderedPageBreak/>
              <w:t>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lastRenderedPageBreak/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2,49183</w:t>
            </w:r>
          </w:p>
        </w:tc>
        <w:tc>
          <w:tcPr>
            <w:tcW w:w="3969" w:type="dxa"/>
          </w:tcPr>
          <w:p w:rsidR="003177E3" w:rsidRDefault="003177E3">
            <w:pPr>
              <w:pStyle w:val="ConsPlusNormal"/>
              <w:jc w:val="center"/>
            </w:pPr>
            <w:r>
              <w:t>4,55309</w:t>
            </w:r>
          </w:p>
        </w:tc>
      </w:tr>
      <w:tr w:rsidR="003177E3">
        <w:tc>
          <w:tcPr>
            <w:tcW w:w="955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2625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3177E3">
        <w:tc>
          <w:tcPr>
            <w:tcW w:w="955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2,49183</w:t>
            </w:r>
          </w:p>
        </w:tc>
        <w:tc>
          <w:tcPr>
            <w:tcW w:w="3969" w:type="dxa"/>
          </w:tcPr>
          <w:p w:rsidR="003177E3" w:rsidRDefault="003177E3">
            <w:pPr>
              <w:pStyle w:val="ConsPlusNormal"/>
              <w:jc w:val="center"/>
            </w:pPr>
            <w:r>
              <w:t>4,55309</w:t>
            </w:r>
          </w:p>
        </w:tc>
      </w:tr>
      <w:tr w:rsidR="003177E3">
        <w:tc>
          <w:tcPr>
            <w:tcW w:w="955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2625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3177E3" w:rsidRDefault="003177E3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3177E3">
        <w:tc>
          <w:tcPr>
            <w:tcW w:w="955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608" w:type="dxa"/>
          </w:tcPr>
          <w:p w:rsidR="003177E3" w:rsidRDefault="003177E3">
            <w:pPr>
              <w:pStyle w:val="ConsPlusNormal"/>
              <w:jc w:val="center"/>
            </w:pPr>
            <w:r>
              <w:t>2,49183</w:t>
            </w:r>
          </w:p>
        </w:tc>
        <w:tc>
          <w:tcPr>
            <w:tcW w:w="3969" w:type="dxa"/>
          </w:tcPr>
          <w:p w:rsidR="003177E3" w:rsidRDefault="003177E3">
            <w:pPr>
              <w:pStyle w:val="ConsPlusNormal"/>
              <w:jc w:val="center"/>
            </w:pPr>
            <w:r>
              <w:t>4,55309</w:t>
            </w:r>
          </w:p>
        </w:tc>
      </w:tr>
    </w:tbl>
    <w:p w:rsidR="003177E3" w:rsidRDefault="003177E3">
      <w:pPr>
        <w:pStyle w:val="ConsPlusNormal"/>
        <w:jc w:val="both"/>
      </w:pPr>
    </w:p>
    <w:p w:rsidR="003177E3" w:rsidRDefault="003177E3">
      <w:pPr>
        <w:pStyle w:val="ConsPlusNormal"/>
        <w:ind w:firstLine="540"/>
        <w:jc w:val="both"/>
      </w:pPr>
      <w:r>
        <w:t>Примечание: Диапазоны объемов потребления электрической энергии определяются в соответствии с постановлением Государственного комитета Республики Карелия по ценам и тарифам от 29.11.2024 N 167.</w:t>
      </w:r>
    </w:p>
    <w:p w:rsidR="003177E3" w:rsidRDefault="003177E3">
      <w:pPr>
        <w:pStyle w:val="ConsPlusNormal"/>
        <w:jc w:val="both"/>
      </w:pPr>
    </w:p>
    <w:p w:rsidR="003177E3" w:rsidRDefault="003177E3">
      <w:pPr>
        <w:pStyle w:val="ConsPlusTitle"/>
        <w:jc w:val="center"/>
        <w:outlineLvl w:val="1"/>
      </w:pPr>
      <w:r>
        <w:t>Единые (котловые) тарифы на услуги</w:t>
      </w:r>
    </w:p>
    <w:p w:rsidR="003177E3" w:rsidRDefault="003177E3">
      <w:pPr>
        <w:pStyle w:val="ConsPlusTitle"/>
        <w:jc w:val="center"/>
      </w:pPr>
      <w:r>
        <w:t>по передаче электрической энергии по сетям</w:t>
      </w:r>
    </w:p>
    <w:p w:rsidR="003177E3" w:rsidRDefault="003177E3">
      <w:pPr>
        <w:pStyle w:val="ConsPlusTitle"/>
        <w:jc w:val="center"/>
      </w:pPr>
      <w:r>
        <w:t>Республики Карелия, поставляемой населению</w:t>
      </w:r>
    </w:p>
    <w:p w:rsidR="003177E3" w:rsidRDefault="003177E3">
      <w:pPr>
        <w:pStyle w:val="ConsPlusTitle"/>
        <w:jc w:val="center"/>
      </w:pPr>
      <w:r>
        <w:t>и приравненным к нему категориям потребителей,</w:t>
      </w:r>
    </w:p>
    <w:p w:rsidR="003177E3" w:rsidRDefault="003177E3">
      <w:pPr>
        <w:pStyle w:val="ConsPlusTitle"/>
        <w:jc w:val="center"/>
      </w:pPr>
      <w:r>
        <w:t>на 2025 год</w:t>
      </w:r>
    </w:p>
    <w:p w:rsidR="003177E3" w:rsidRDefault="003177E3">
      <w:pPr>
        <w:pStyle w:val="ConsPlusNormal"/>
        <w:jc w:val="both"/>
      </w:pPr>
    </w:p>
    <w:p w:rsidR="003177E3" w:rsidRDefault="003177E3">
      <w:pPr>
        <w:pStyle w:val="ConsPlusTitle"/>
        <w:jc w:val="center"/>
        <w:outlineLvl w:val="2"/>
      </w:pPr>
      <w:r>
        <w:t>Для третьего диапазона потребления</w:t>
      </w:r>
    </w:p>
    <w:p w:rsidR="003177E3" w:rsidRDefault="003177E3">
      <w:pPr>
        <w:pStyle w:val="ConsPlusTitle"/>
        <w:jc w:val="center"/>
      </w:pPr>
      <w:r>
        <w:t>электрической энергии (мощности)</w:t>
      </w:r>
    </w:p>
    <w:p w:rsidR="003177E3" w:rsidRDefault="003177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56"/>
        <w:gridCol w:w="1392"/>
        <w:gridCol w:w="2778"/>
        <w:gridCol w:w="3855"/>
      </w:tblGrid>
      <w:tr w:rsidR="003177E3">
        <w:tc>
          <w:tcPr>
            <w:tcW w:w="850" w:type="dxa"/>
          </w:tcPr>
          <w:p w:rsidR="003177E3" w:rsidRDefault="003177E3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656" w:type="dxa"/>
          </w:tcPr>
          <w:p w:rsidR="003177E3" w:rsidRDefault="003177E3">
            <w:pPr>
              <w:pStyle w:val="ConsPlusNormal"/>
              <w:jc w:val="center"/>
            </w:pPr>
            <w:r>
              <w:t>Тарифные группы потребителей электрической энергии (мощности)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78" w:type="dxa"/>
          </w:tcPr>
          <w:p w:rsidR="003177E3" w:rsidRDefault="003177E3">
            <w:pPr>
              <w:pStyle w:val="ConsPlusNormal"/>
              <w:jc w:val="center"/>
            </w:pPr>
            <w:r>
              <w:t>I полугодие</w:t>
            </w:r>
          </w:p>
        </w:tc>
        <w:tc>
          <w:tcPr>
            <w:tcW w:w="3855" w:type="dxa"/>
          </w:tcPr>
          <w:p w:rsidR="003177E3" w:rsidRDefault="003177E3">
            <w:pPr>
              <w:pStyle w:val="ConsPlusNormal"/>
              <w:jc w:val="center"/>
            </w:pPr>
            <w:r>
              <w:t>II полугодие</w:t>
            </w:r>
          </w:p>
        </w:tc>
      </w:tr>
      <w:tr w:rsidR="003177E3">
        <w:tc>
          <w:tcPr>
            <w:tcW w:w="850" w:type="dxa"/>
          </w:tcPr>
          <w:p w:rsidR="003177E3" w:rsidRDefault="003177E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4656" w:type="dxa"/>
          </w:tcPr>
          <w:p w:rsidR="003177E3" w:rsidRDefault="003177E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3177E3" w:rsidRDefault="003177E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3177E3" w:rsidRDefault="003177E3">
            <w:pPr>
              <w:pStyle w:val="ConsPlusNormal"/>
              <w:jc w:val="center"/>
            </w:pPr>
            <w:r>
              <w:t>5</w:t>
            </w:r>
          </w:p>
        </w:tc>
      </w:tr>
      <w:tr w:rsidR="003177E3">
        <w:tc>
          <w:tcPr>
            <w:tcW w:w="850" w:type="dxa"/>
          </w:tcPr>
          <w:p w:rsidR="003177E3" w:rsidRDefault="003177E3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681" w:type="dxa"/>
            <w:gridSpan w:val="4"/>
          </w:tcPr>
          <w:p w:rsidR="003177E3" w:rsidRDefault="003177E3">
            <w:pPr>
              <w:pStyle w:val="ConsPlusNormal"/>
            </w:pPr>
            <w:r>
              <w:t>Население и приравненные к нему категории (без учета налога на добавленную стоимость):</w:t>
            </w:r>
          </w:p>
        </w:tc>
      </w:tr>
      <w:tr w:rsidR="003177E3">
        <w:tc>
          <w:tcPr>
            <w:tcW w:w="850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2681" w:type="dxa"/>
            <w:gridSpan w:val="4"/>
          </w:tcPr>
          <w:p w:rsidR="003177E3" w:rsidRDefault="003177E3">
            <w:pPr>
              <w:pStyle w:val="ConsPlusNormal"/>
            </w:pPr>
            <w:r>
              <w:t xml:space="preserve">Население и приравненные к нему, за исключением населения и потребителей, указанных в </w:t>
            </w:r>
            <w:hyperlink w:anchor="P337">
              <w:r>
                <w:rPr>
                  <w:color w:val="0000FF"/>
                </w:rPr>
                <w:t>строках 1.2</w:t>
              </w:r>
            </w:hyperlink>
            <w:r>
              <w:t>-</w:t>
            </w:r>
            <w:hyperlink w:anchor="P391">
              <w:r>
                <w:rPr>
                  <w:color w:val="0000FF"/>
                </w:rPr>
                <w:t>1.8</w:t>
              </w:r>
            </w:hyperlink>
            <w:r>
              <w:t>:</w:t>
            </w:r>
          </w:p>
          <w:p w:rsidR="003177E3" w:rsidRDefault="003177E3">
            <w:pPr>
              <w:pStyle w:val="ConsPlusNormal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850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руб./кВтч</w:t>
            </w:r>
          </w:p>
        </w:tc>
        <w:tc>
          <w:tcPr>
            <w:tcW w:w="2778" w:type="dxa"/>
          </w:tcPr>
          <w:p w:rsidR="003177E3" w:rsidRDefault="003177E3">
            <w:pPr>
              <w:pStyle w:val="ConsPlusNormal"/>
              <w:jc w:val="center"/>
            </w:pPr>
            <w:r>
              <w:t>5,53379</w:t>
            </w:r>
          </w:p>
        </w:tc>
        <w:tc>
          <w:tcPr>
            <w:tcW w:w="3855" w:type="dxa"/>
          </w:tcPr>
          <w:p w:rsidR="003177E3" w:rsidRDefault="003177E3">
            <w:pPr>
              <w:pStyle w:val="ConsPlusNormal"/>
              <w:jc w:val="center"/>
            </w:pPr>
            <w:r>
              <w:t>6,87855</w:t>
            </w:r>
          </w:p>
        </w:tc>
      </w:tr>
      <w:tr w:rsidR="003177E3">
        <w:tc>
          <w:tcPr>
            <w:tcW w:w="850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bookmarkStart w:id="9" w:name="P337"/>
            <w:bookmarkEnd w:id="9"/>
            <w:r>
              <w:t>1.2.</w:t>
            </w:r>
          </w:p>
        </w:tc>
        <w:tc>
          <w:tcPr>
            <w:tcW w:w="1268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 категории потребителей: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</w:t>
            </w:r>
            <w:r>
              <w:lastRenderedPageBreak/>
              <w:t>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850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778" w:type="dxa"/>
          </w:tcPr>
          <w:p w:rsidR="003177E3" w:rsidRDefault="003177E3">
            <w:pPr>
              <w:pStyle w:val="ConsPlusNormal"/>
              <w:jc w:val="center"/>
            </w:pPr>
            <w:r>
              <w:t>5,53379</w:t>
            </w:r>
          </w:p>
        </w:tc>
        <w:tc>
          <w:tcPr>
            <w:tcW w:w="3855" w:type="dxa"/>
          </w:tcPr>
          <w:p w:rsidR="003177E3" w:rsidRDefault="003177E3">
            <w:pPr>
              <w:pStyle w:val="ConsPlusNormal"/>
              <w:jc w:val="center"/>
            </w:pPr>
            <w:r>
              <w:t>6,87855</w:t>
            </w:r>
          </w:p>
        </w:tc>
      </w:tr>
      <w:tr w:rsidR="003177E3">
        <w:tc>
          <w:tcPr>
            <w:tcW w:w="850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1268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850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778" w:type="dxa"/>
          </w:tcPr>
          <w:p w:rsidR="003177E3" w:rsidRDefault="003177E3">
            <w:pPr>
              <w:pStyle w:val="ConsPlusNormal"/>
              <w:jc w:val="center"/>
            </w:pPr>
            <w:r>
              <w:t>5,53379</w:t>
            </w:r>
          </w:p>
        </w:tc>
        <w:tc>
          <w:tcPr>
            <w:tcW w:w="3855" w:type="dxa"/>
          </w:tcPr>
          <w:p w:rsidR="003177E3" w:rsidRDefault="003177E3">
            <w:pPr>
              <w:pStyle w:val="ConsPlusNormal"/>
              <w:jc w:val="center"/>
            </w:pPr>
            <w:r>
              <w:t>6,87855</w:t>
            </w:r>
          </w:p>
        </w:tc>
      </w:tr>
      <w:tr w:rsidR="003177E3">
        <w:tc>
          <w:tcPr>
            <w:tcW w:w="850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1268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177E3" w:rsidRDefault="003177E3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</w:t>
            </w:r>
            <w:r>
              <w:lastRenderedPageBreak/>
              <w:t>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850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778" w:type="dxa"/>
          </w:tcPr>
          <w:p w:rsidR="003177E3" w:rsidRDefault="003177E3">
            <w:pPr>
              <w:pStyle w:val="ConsPlusNormal"/>
              <w:jc w:val="center"/>
            </w:pPr>
            <w:r>
              <w:t>5,53379</w:t>
            </w:r>
          </w:p>
        </w:tc>
        <w:tc>
          <w:tcPr>
            <w:tcW w:w="3855" w:type="dxa"/>
          </w:tcPr>
          <w:p w:rsidR="003177E3" w:rsidRDefault="003177E3">
            <w:pPr>
              <w:pStyle w:val="ConsPlusNormal"/>
              <w:jc w:val="center"/>
            </w:pPr>
            <w:r>
              <w:t>6,87855</w:t>
            </w:r>
          </w:p>
        </w:tc>
      </w:tr>
      <w:tr w:rsidR="003177E3">
        <w:tc>
          <w:tcPr>
            <w:tcW w:w="850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bookmarkStart w:id="10" w:name="P364"/>
            <w:bookmarkEnd w:id="10"/>
            <w:r>
              <w:t>1.5.</w:t>
            </w:r>
          </w:p>
        </w:tc>
        <w:tc>
          <w:tcPr>
            <w:tcW w:w="1268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850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778" w:type="dxa"/>
          </w:tcPr>
          <w:p w:rsidR="003177E3" w:rsidRDefault="003177E3">
            <w:pPr>
              <w:pStyle w:val="ConsPlusNormal"/>
              <w:jc w:val="center"/>
            </w:pPr>
            <w:r>
              <w:t>5,53379</w:t>
            </w:r>
          </w:p>
        </w:tc>
        <w:tc>
          <w:tcPr>
            <w:tcW w:w="3855" w:type="dxa"/>
          </w:tcPr>
          <w:p w:rsidR="003177E3" w:rsidRDefault="003177E3">
            <w:pPr>
              <w:pStyle w:val="ConsPlusNormal"/>
              <w:jc w:val="center"/>
            </w:pPr>
            <w:r>
              <w:t>6,87855</w:t>
            </w:r>
          </w:p>
        </w:tc>
      </w:tr>
      <w:tr w:rsidR="003177E3">
        <w:tc>
          <w:tcPr>
            <w:tcW w:w="850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1268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 категории потребителей: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850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778" w:type="dxa"/>
          </w:tcPr>
          <w:p w:rsidR="003177E3" w:rsidRDefault="003177E3">
            <w:pPr>
              <w:pStyle w:val="ConsPlusNormal"/>
              <w:jc w:val="center"/>
            </w:pPr>
            <w:r>
              <w:t>5,53379</w:t>
            </w:r>
          </w:p>
        </w:tc>
        <w:tc>
          <w:tcPr>
            <w:tcW w:w="3855" w:type="dxa"/>
          </w:tcPr>
          <w:p w:rsidR="003177E3" w:rsidRDefault="003177E3">
            <w:pPr>
              <w:pStyle w:val="ConsPlusNormal"/>
              <w:jc w:val="center"/>
            </w:pPr>
            <w:r>
              <w:t>6,87855</w:t>
            </w:r>
          </w:p>
        </w:tc>
      </w:tr>
      <w:tr w:rsidR="003177E3">
        <w:tc>
          <w:tcPr>
            <w:tcW w:w="850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bookmarkStart w:id="11" w:name="P382"/>
            <w:bookmarkEnd w:id="11"/>
            <w:r>
              <w:t>1.7.</w:t>
            </w:r>
          </w:p>
        </w:tc>
        <w:tc>
          <w:tcPr>
            <w:tcW w:w="1268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Население, проживающее в сельских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 категории потребителей: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 xml:space="preserve">гарантирующие поставщики, энергосбытовые, энергоснабжающие организации, приобретающие электрическую энергию (мощность) </w:t>
            </w:r>
            <w:r>
              <w:lastRenderedPageBreak/>
              <w:t>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850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778" w:type="dxa"/>
          </w:tcPr>
          <w:p w:rsidR="003177E3" w:rsidRDefault="003177E3">
            <w:pPr>
              <w:pStyle w:val="ConsPlusNormal"/>
              <w:jc w:val="center"/>
            </w:pPr>
            <w:r>
              <w:t>5,53379</w:t>
            </w:r>
          </w:p>
        </w:tc>
        <w:tc>
          <w:tcPr>
            <w:tcW w:w="3855" w:type="dxa"/>
          </w:tcPr>
          <w:p w:rsidR="003177E3" w:rsidRDefault="003177E3">
            <w:pPr>
              <w:pStyle w:val="ConsPlusNormal"/>
              <w:jc w:val="center"/>
            </w:pPr>
            <w:r>
              <w:t>6,87855</w:t>
            </w:r>
          </w:p>
        </w:tc>
      </w:tr>
      <w:tr w:rsidR="003177E3">
        <w:tc>
          <w:tcPr>
            <w:tcW w:w="850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bookmarkStart w:id="12" w:name="P391"/>
            <w:bookmarkEnd w:id="12"/>
            <w:r>
              <w:t>1.8.</w:t>
            </w:r>
          </w:p>
        </w:tc>
        <w:tc>
          <w:tcPr>
            <w:tcW w:w="1268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 xml:space="preserve">Население, проживающее в сельских населенных пунктах, и приравненные к нему, за исключением населения и потребителей, указанных в </w:t>
            </w:r>
            <w:hyperlink w:anchor="P364">
              <w:r>
                <w:rPr>
                  <w:color w:val="0000FF"/>
                </w:rPr>
                <w:t>строках 1.5</w:t>
              </w:r>
            </w:hyperlink>
            <w:r>
              <w:t>-</w:t>
            </w:r>
            <w:hyperlink w:anchor="P382">
              <w:r>
                <w:rPr>
                  <w:color w:val="0000FF"/>
                </w:rPr>
                <w:t>1.7</w:t>
              </w:r>
            </w:hyperlink>
            <w:r>
              <w:t>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3177E3" w:rsidRDefault="003177E3">
            <w:pPr>
              <w:pStyle w:val="ConsPlusNormal"/>
              <w:jc w:val="both"/>
            </w:pPr>
            <w: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</w:t>
            </w:r>
          </w:p>
        </w:tc>
      </w:tr>
      <w:tr w:rsidR="003177E3">
        <w:tc>
          <w:tcPr>
            <w:tcW w:w="850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778" w:type="dxa"/>
          </w:tcPr>
          <w:p w:rsidR="003177E3" w:rsidRDefault="003177E3">
            <w:pPr>
              <w:pStyle w:val="ConsPlusNormal"/>
              <w:jc w:val="center"/>
            </w:pPr>
            <w:r>
              <w:t>5,53379</w:t>
            </w:r>
          </w:p>
        </w:tc>
        <w:tc>
          <w:tcPr>
            <w:tcW w:w="3855" w:type="dxa"/>
          </w:tcPr>
          <w:p w:rsidR="003177E3" w:rsidRDefault="003177E3">
            <w:pPr>
              <w:pStyle w:val="ConsPlusNormal"/>
              <w:jc w:val="center"/>
            </w:pPr>
            <w:r>
              <w:t>6,87855</w:t>
            </w:r>
          </w:p>
        </w:tc>
      </w:tr>
      <w:tr w:rsidR="003177E3">
        <w:tc>
          <w:tcPr>
            <w:tcW w:w="850" w:type="dxa"/>
          </w:tcPr>
          <w:p w:rsidR="003177E3" w:rsidRDefault="003177E3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268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Потребители, приравненные к населению:</w:t>
            </w:r>
          </w:p>
        </w:tc>
      </w:tr>
      <w:tr w:rsidR="003177E3">
        <w:tc>
          <w:tcPr>
            <w:tcW w:w="850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1268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</w:t>
            </w:r>
            <w:r>
              <w:lastRenderedPageBreak/>
              <w:t>энергии населения и объемах электрической энергии, израсходованной на места общего пользования, за исключением:</w:t>
            </w:r>
          </w:p>
          <w:p w:rsidR="003177E3" w:rsidRDefault="003177E3">
            <w:pPr>
              <w:pStyle w:val="ConsPlusNormal"/>
              <w:jc w:val="both"/>
            </w:pPr>
            <w: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3177E3" w:rsidRDefault="003177E3">
            <w:pPr>
              <w:pStyle w:val="ConsPlusNormal"/>
              <w:jc w:val="both"/>
            </w:pPr>
            <w: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3177E3">
        <w:tc>
          <w:tcPr>
            <w:tcW w:w="850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778" w:type="dxa"/>
          </w:tcPr>
          <w:p w:rsidR="003177E3" w:rsidRDefault="003177E3">
            <w:pPr>
              <w:pStyle w:val="ConsPlusNormal"/>
              <w:jc w:val="center"/>
            </w:pPr>
            <w:r>
              <w:t>5,53379</w:t>
            </w:r>
          </w:p>
        </w:tc>
        <w:tc>
          <w:tcPr>
            <w:tcW w:w="3855" w:type="dxa"/>
          </w:tcPr>
          <w:p w:rsidR="003177E3" w:rsidRDefault="003177E3">
            <w:pPr>
              <w:pStyle w:val="ConsPlusNormal"/>
              <w:jc w:val="center"/>
            </w:pPr>
            <w:r>
              <w:t>6,87855</w:t>
            </w:r>
          </w:p>
        </w:tc>
      </w:tr>
      <w:tr w:rsidR="003177E3">
        <w:tc>
          <w:tcPr>
            <w:tcW w:w="850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1268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3177E3">
        <w:tc>
          <w:tcPr>
            <w:tcW w:w="850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778" w:type="dxa"/>
          </w:tcPr>
          <w:p w:rsidR="003177E3" w:rsidRDefault="003177E3">
            <w:pPr>
              <w:pStyle w:val="ConsPlusNormal"/>
              <w:jc w:val="center"/>
            </w:pPr>
            <w:r>
              <w:t>5,53379</w:t>
            </w:r>
          </w:p>
        </w:tc>
        <w:tc>
          <w:tcPr>
            <w:tcW w:w="3855" w:type="dxa"/>
          </w:tcPr>
          <w:p w:rsidR="003177E3" w:rsidRDefault="003177E3">
            <w:pPr>
              <w:pStyle w:val="ConsPlusNormal"/>
              <w:jc w:val="center"/>
            </w:pPr>
            <w:r>
              <w:t>6,87855</w:t>
            </w:r>
          </w:p>
        </w:tc>
      </w:tr>
      <w:tr w:rsidR="003177E3">
        <w:tc>
          <w:tcPr>
            <w:tcW w:w="850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1268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3177E3">
        <w:tc>
          <w:tcPr>
            <w:tcW w:w="850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778" w:type="dxa"/>
          </w:tcPr>
          <w:p w:rsidR="003177E3" w:rsidRDefault="003177E3">
            <w:pPr>
              <w:pStyle w:val="ConsPlusNormal"/>
              <w:jc w:val="center"/>
            </w:pPr>
            <w:r>
              <w:t>5,53379</w:t>
            </w:r>
          </w:p>
        </w:tc>
        <w:tc>
          <w:tcPr>
            <w:tcW w:w="3855" w:type="dxa"/>
          </w:tcPr>
          <w:p w:rsidR="003177E3" w:rsidRDefault="003177E3">
            <w:pPr>
              <w:pStyle w:val="ConsPlusNormal"/>
              <w:jc w:val="center"/>
            </w:pPr>
            <w:r>
              <w:t>6,87855</w:t>
            </w:r>
          </w:p>
        </w:tc>
      </w:tr>
      <w:tr w:rsidR="003177E3">
        <w:tc>
          <w:tcPr>
            <w:tcW w:w="850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1268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3177E3">
        <w:tc>
          <w:tcPr>
            <w:tcW w:w="850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 xml:space="preserve">Одноставочный тариф (в том числе </w:t>
            </w:r>
            <w:r>
              <w:lastRenderedPageBreak/>
              <w:t>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lastRenderedPageBreak/>
              <w:t>руб./кВт.ч</w:t>
            </w:r>
          </w:p>
        </w:tc>
        <w:tc>
          <w:tcPr>
            <w:tcW w:w="2778" w:type="dxa"/>
          </w:tcPr>
          <w:p w:rsidR="003177E3" w:rsidRDefault="003177E3">
            <w:pPr>
              <w:pStyle w:val="ConsPlusNormal"/>
              <w:jc w:val="center"/>
            </w:pPr>
            <w:r>
              <w:t>5,53379</w:t>
            </w:r>
          </w:p>
        </w:tc>
        <w:tc>
          <w:tcPr>
            <w:tcW w:w="3855" w:type="dxa"/>
          </w:tcPr>
          <w:p w:rsidR="003177E3" w:rsidRDefault="003177E3">
            <w:pPr>
              <w:pStyle w:val="ConsPlusNormal"/>
              <w:jc w:val="center"/>
            </w:pPr>
            <w:r>
              <w:t>6,87855</w:t>
            </w:r>
          </w:p>
        </w:tc>
      </w:tr>
      <w:tr w:rsidR="003177E3">
        <w:tc>
          <w:tcPr>
            <w:tcW w:w="850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1268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Содержащиеся за счет прихожан религиозные организации</w:t>
            </w:r>
          </w:p>
        </w:tc>
      </w:tr>
      <w:tr w:rsidR="003177E3">
        <w:tc>
          <w:tcPr>
            <w:tcW w:w="850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778" w:type="dxa"/>
          </w:tcPr>
          <w:p w:rsidR="003177E3" w:rsidRDefault="003177E3">
            <w:pPr>
              <w:pStyle w:val="ConsPlusNormal"/>
              <w:jc w:val="center"/>
            </w:pPr>
            <w:r>
              <w:t>5,53379</w:t>
            </w:r>
          </w:p>
        </w:tc>
        <w:tc>
          <w:tcPr>
            <w:tcW w:w="3855" w:type="dxa"/>
          </w:tcPr>
          <w:p w:rsidR="003177E3" w:rsidRDefault="003177E3">
            <w:pPr>
              <w:pStyle w:val="ConsPlusNormal"/>
              <w:jc w:val="center"/>
            </w:pPr>
            <w:r>
              <w:t>6,87855</w:t>
            </w:r>
          </w:p>
        </w:tc>
      </w:tr>
      <w:tr w:rsidR="003177E3">
        <w:tc>
          <w:tcPr>
            <w:tcW w:w="850" w:type="dxa"/>
            <w:vMerge w:val="restart"/>
          </w:tcPr>
          <w:p w:rsidR="003177E3" w:rsidRDefault="003177E3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12681" w:type="dxa"/>
            <w:gridSpan w:val="4"/>
          </w:tcPr>
          <w:p w:rsidR="003177E3" w:rsidRDefault="003177E3">
            <w:pPr>
              <w:pStyle w:val="ConsPlusNormal"/>
              <w:jc w:val="both"/>
            </w:pPr>
            <w: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3177E3" w:rsidRDefault="003177E3">
            <w:pPr>
              <w:pStyle w:val="ConsPlusNormal"/>
              <w:jc w:val="both"/>
            </w:pPr>
            <w: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3177E3">
        <w:tc>
          <w:tcPr>
            <w:tcW w:w="850" w:type="dxa"/>
            <w:vMerge/>
          </w:tcPr>
          <w:p w:rsidR="003177E3" w:rsidRDefault="003177E3">
            <w:pPr>
              <w:pStyle w:val="ConsPlusNormal"/>
            </w:pPr>
          </w:p>
        </w:tc>
        <w:tc>
          <w:tcPr>
            <w:tcW w:w="4656" w:type="dxa"/>
          </w:tcPr>
          <w:p w:rsidR="003177E3" w:rsidRDefault="003177E3">
            <w:pPr>
              <w:pStyle w:val="ConsPlusNormal"/>
            </w:pPr>
            <w: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392" w:type="dxa"/>
          </w:tcPr>
          <w:p w:rsidR="003177E3" w:rsidRDefault="003177E3">
            <w:pPr>
              <w:pStyle w:val="ConsPlusNormal"/>
              <w:jc w:val="center"/>
            </w:pPr>
            <w:r>
              <w:t>руб./кВт.ч</w:t>
            </w:r>
          </w:p>
        </w:tc>
        <w:tc>
          <w:tcPr>
            <w:tcW w:w="2778" w:type="dxa"/>
          </w:tcPr>
          <w:p w:rsidR="003177E3" w:rsidRDefault="003177E3">
            <w:pPr>
              <w:pStyle w:val="ConsPlusNormal"/>
              <w:jc w:val="center"/>
            </w:pPr>
            <w:r>
              <w:t>5,53379</w:t>
            </w:r>
          </w:p>
        </w:tc>
        <w:tc>
          <w:tcPr>
            <w:tcW w:w="3855" w:type="dxa"/>
          </w:tcPr>
          <w:p w:rsidR="003177E3" w:rsidRDefault="003177E3">
            <w:pPr>
              <w:pStyle w:val="ConsPlusNormal"/>
              <w:jc w:val="center"/>
            </w:pPr>
            <w:r>
              <w:t>6,87855</w:t>
            </w:r>
          </w:p>
        </w:tc>
      </w:tr>
    </w:tbl>
    <w:p w:rsidR="003177E3" w:rsidRDefault="003177E3">
      <w:pPr>
        <w:pStyle w:val="ConsPlusNormal"/>
        <w:jc w:val="both"/>
      </w:pPr>
    </w:p>
    <w:p w:rsidR="003177E3" w:rsidRDefault="003177E3">
      <w:pPr>
        <w:pStyle w:val="ConsPlusNormal"/>
        <w:ind w:firstLine="540"/>
        <w:jc w:val="both"/>
      </w:pPr>
      <w:r>
        <w:t>Примечание: Диапазоны объемов потребления электрической энергии определяются в соответствии с постановлением Государственного комитета Республики Карелия по ценам и тарифам от 29.11.2024 N 167.</w:t>
      </w:r>
    </w:p>
    <w:p w:rsidR="003177E3" w:rsidRDefault="003177E3">
      <w:pPr>
        <w:pStyle w:val="ConsPlusNormal"/>
        <w:jc w:val="both"/>
      </w:pPr>
    </w:p>
    <w:p w:rsidR="003177E3" w:rsidRDefault="003177E3">
      <w:pPr>
        <w:pStyle w:val="ConsPlusNormal"/>
        <w:jc w:val="both"/>
      </w:pPr>
    </w:p>
    <w:p w:rsidR="003177E3" w:rsidRDefault="003177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0DC3" w:rsidRDefault="00710DC3">
      <w:bookmarkStart w:id="13" w:name="_GoBack"/>
      <w:bookmarkEnd w:id="13"/>
    </w:p>
    <w:sectPr w:rsidR="00710DC3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E3"/>
    <w:rsid w:val="003177E3"/>
    <w:rsid w:val="0071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60133-C375-4647-9877-62499606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77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77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77E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04&amp;n=6155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04&amp;n=605738&amp;dst=1001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690&amp;dst=101823" TargetMode="External"/><Relationship Id="rId5" Type="http://schemas.openxmlformats.org/officeDocument/2006/relationships/hyperlink" Target="https://login.consultant.ru/link/?req=doc&amp;base=LAW&amp;n=483148&amp;dst=91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8267</Words>
  <Characters>47126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Наталья Ивановна</dc:creator>
  <cp:keywords/>
  <dc:description/>
  <cp:lastModifiedBy>Колганова Наталья Ивановна</cp:lastModifiedBy>
  <cp:revision>1</cp:revision>
  <dcterms:created xsi:type="dcterms:W3CDTF">2024-12-09T08:40:00Z</dcterms:created>
  <dcterms:modified xsi:type="dcterms:W3CDTF">2024-12-09T08:41:00Z</dcterms:modified>
</cp:coreProperties>
</file>