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5" w:rsidRDefault="00135A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5AC5" w:rsidRDefault="00135AC5">
      <w:pPr>
        <w:pStyle w:val="ConsPlusNormal"/>
        <w:jc w:val="both"/>
        <w:outlineLvl w:val="0"/>
      </w:pPr>
    </w:p>
    <w:p w:rsidR="00135AC5" w:rsidRDefault="00135AC5">
      <w:pPr>
        <w:pStyle w:val="ConsPlusTitle"/>
        <w:jc w:val="center"/>
        <w:outlineLvl w:val="0"/>
      </w:pPr>
      <w:r>
        <w:t>РЕГИОНАЛЬНАЯ ЭНЕРГЕТИЧЕСКАЯ КОМИССИЯ ТЮМЕНСКОЙ ОБЛАСТИ,</w:t>
      </w:r>
    </w:p>
    <w:p w:rsidR="00135AC5" w:rsidRDefault="00135AC5">
      <w:pPr>
        <w:pStyle w:val="ConsPlusTitle"/>
        <w:jc w:val="center"/>
      </w:pPr>
      <w:r>
        <w:t>ХАНТЫ-МАНСИЙСКОГО АВТОНОМНОГО ОКРУГА - ЮГРЫ,</w:t>
      </w:r>
    </w:p>
    <w:p w:rsidR="00135AC5" w:rsidRDefault="00135AC5">
      <w:pPr>
        <w:pStyle w:val="ConsPlusTitle"/>
        <w:jc w:val="center"/>
      </w:pPr>
      <w:r>
        <w:t>ЯМАЛО-НЕНЕЦКОГО АВТОНОМНОГО ОКРУГА</w:t>
      </w:r>
    </w:p>
    <w:p w:rsidR="00135AC5" w:rsidRDefault="00135AC5">
      <w:pPr>
        <w:pStyle w:val="ConsPlusTitle"/>
        <w:jc w:val="center"/>
      </w:pPr>
    </w:p>
    <w:p w:rsidR="00135AC5" w:rsidRDefault="00135AC5">
      <w:pPr>
        <w:pStyle w:val="ConsPlusTitle"/>
        <w:jc w:val="center"/>
      </w:pPr>
      <w:r>
        <w:t>РАСПОРЯЖЕНИЕ</w:t>
      </w:r>
    </w:p>
    <w:p w:rsidR="00135AC5" w:rsidRDefault="00135AC5">
      <w:pPr>
        <w:pStyle w:val="ConsPlusTitle"/>
        <w:jc w:val="center"/>
      </w:pPr>
      <w:r>
        <w:t>от 28 ноября 2024 г. N 27</w:t>
      </w:r>
    </w:p>
    <w:p w:rsidR="00135AC5" w:rsidRDefault="00135AC5">
      <w:pPr>
        <w:pStyle w:val="ConsPlusTitle"/>
        <w:jc w:val="center"/>
      </w:pPr>
    </w:p>
    <w:p w:rsidR="00135AC5" w:rsidRDefault="00135AC5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135AC5" w:rsidRDefault="00135AC5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135AC5" w:rsidRDefault="00135AC5">
      <w:pPr>
        <w:pStyle w:val="ConsPlusTitle"/>
        <w:jc w:val="center"/>
      </w:pPr>
      <w:r>
        <w:t>ПО ТЮМЕНСКОЙ ОБЛАСТИ, ХАНТЫ-МАНСИЙСКОМУ АВТОНОМНОМУ ОКРУГУ -</w:t>
      </w:r>
    </w:p>
    <w:p w:rsidR="00135AC5" w:rsidRDefault="00135AC5">
      <w:pPr>
        <w:pStyle w:val="ConsPlusTitle"/>
        <w:jc w:val="center"/>
      </w:pPr>
      <w:r>
        <w:t>ЮГРЕ И ЯМАЛО-НЕНЕЦКОМУ АВТОНОМНОМУ ОКРУГУ НА 2025 ГОД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ФАС России от 11.10.2024 N 718/24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2025 год":</w:t>
      </w:r>
    </w:p>
    <w:p w:rsidR="00135AC5" w:rsidRDefault="00135AC5">
      <w:pPr>
        <w:pStyle w:val="ConsPlusNormal"/>
        <w:spacing w:before="220"/>
        <w:ind w:firstLine="540"/>
        <w:jc w:val="both"/>
      </w:pPr>
      <w:r>
        <w:t xml:space="preserve">Установить с 1 января 2025 года по 31 декабря 2025 года цены (тарифы) на электрическую энергию для населения и приравненных к нему категорий потребителей по Тюменской области, Ханты-Мансийскому автономному округу - Югре и Ямало-Ненецкому автономному округу согласно </w:t>
      </w:r>
      <w:hyperlink w:anchor="P23">
        <w:r>
          <w:rPr>
            <w:color w:val="0000FF"/>
          </w:rPr>
          <w:t>приложению</w:t>
        </w:r>
      </w:hyperlink>
      <w:r>
        <w:t>.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right"/>
      </w:pPr>
      <w:r>
        <w:t>Заместитель председателя</w:t>
      </w:r>
    </w:p>
    <w:p w:rsidR="00135AC5" w:rsidRDefault="00135AC5">
      <w:pPr>
        <w:pStyle w:val="ConsPlusNormal"/>
        <w:jc w:val="right"/>
      </w:pPr>
      <w:r>
        <w:t>А.В.ЯКОВЛЕВ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right"/>
        <w:outlineLvl w:val="0"/>
      </w:pPr>
      <w:bookmarkStart w:id="0" w:name="P23"/>
      <w:bookmarkEnd w:id="0"/>
      <w:r>
        <w:t>Приложение</w:t>
      </w:r>
    </w:p>
    <w:p w:rsidR="00135AC5" w:rsidRDefault="00135AC5">
      <w:pPr>
        <w:pStyle w:val="ConsPlusNormal"/>
        <w:jc w:val="right"/>
      </w:pPr>
      <w:r>
        <w:t>к распоряжению</w:t>
      </w:r>
    </w:p>
    <w:p w:rsidR="00135AC5" w:rsidRDefault="00135AC5">
      <w:pPr>
        <w:pStyle w:val="ConsPlusNormal"/>
        <w:jc w:val="right"/>
      </w:pPr>
      <w:r>
        <w:t>от 28.11.2024 N 27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right"/>
        <w:outlineLvl w:val="1"/>
      </w:pPr>
      <w:r>
        <w:t>Таблица 1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</w:pPr>
      <w:r>
        <w:t>Цены (тарифы) на электрическую энергию для населения</w:t>
      </w:r>
    </w:p>
    <w:p w:rsidR="00135AC5" w:rsidRDefault="00135AC5">
      <w:pPr>
        <w:pStyle w:val="ConsPlusTitle"/>
        <w:jc w:val="center"/>
      </w:pPr>
      <w:r>
        <w:t>и приравненных к нему категорий потребителей по Тюменской</w:t>
      </w:r>
    </w:p>
    <w:p w:rsidR="00135AC5" w:rsidRDefault="00135AC5">
      <w:pPr>
        <w:pStyle w:val="ConsPlusTitle"/>
        <w:jc w:val="center"/>
      </w:pPr>
      <w:r>
        <w:t>области, Ханты-Мансийскому автономному округу - Югре</w:t>
      </w:r>
    </w:p>
    <w:p w:rsidR="00135AC5" w:rsidRDefault="00135AC5">
      <w:pPr>
        <w:pStyle w:val="ConsPlusTitle"/>
        <w:jc w:val="center"/>
      </w:pPr>
      <w:r>
        <w:t>и Ямало-Ненецкому автономному округу на 2025 г.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sectPr w:rsidR="00135AC5" w:rsidSect="00320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134"/>
        <w:gridCol w:w="1161"/>
        <w:gridCol w:w="1143"/>
        <w:gridCol w:w="1143"/>
        <w:gridCol w:w="1219"/>
      </w:tblGrid>
      <w:tr w:rsidR="00135AC5">
        <w:tc>
          <w:tcPr>
            <w:tcW w:w="709" w:type="dxa"/>
            <w:vMerge w:val="restart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02" w:type="dxa"/>
            <w:vMerge w:val="restart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6934" w:type="dxa"/>
            <w:gridSpan w:val="6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Цена (тариф), руб./кВт·ч (с учетом налога на добавленную стоимость)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29" w:type="dxa"/>
            <w:gridSpan w:val="3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505" w:type="dxa"/>
            <w:gridSpan w:val="3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134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161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  <w:tc>
          <w:tcPr>
            <w:tcW w:w="1143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143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219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</w:tr>
      <w:tr w:rsidR="00135AC5">
        <w:tc>
          <w:tcPr>
            <w:tcW w:w="709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1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3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3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9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105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417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</w:t>
            </w:r>
            <w:r>
              <w:lastRenderedPageBreak/>
              <w:t>категориям потребителей, указанным в настоящей строке.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3,84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bookmarkStart w:id="1" w:name="P105"/>
            <w:bookmarkEnd w:id="1"/>
            <w:r>
              <w:t>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2,69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</w:t>
            </w:r>
            <w:r>
              <w:lastRenderedPageBreak/>
              <w:t>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2,69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</w:t>
            </w:r>
            <w:r>
              <w:lastRenderedPageBreak/>
              <w:t>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2,69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bookmarkStart w:id="2" w:name="P261"/>
            <w:bookmarkEnd w:id="2"/>
            <w:r>
              <w:t>5.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</w:t>
            </w:r>
            <w: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2,69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</w:t>
            </w:r>
            <w:r>
              <w:lastRenderedPageBreak/>
              <w:t>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2,69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bookmarkStart w:id="3" w:name="P365"/>
            <w:bookmarkEnd w:id="3"/>
            <w:r>
              <w:t>7.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приравненным к населению категориям потребителей, указанным в настоящей строке.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2,69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bookmarkStart w:id="4" w:name="P417"/>
            <w:bookmarkEnd w:id="4"/>
            <w:r>
              <w:lastRenderedPageBreak/>
              <w:t>8.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61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365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2,67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2,69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2,63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2,95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1,30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1,77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3,84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9.2.1.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9.2.2.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9.2.3.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3,84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9.3.1.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9.3.2.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9.3.3.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3,84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9.4.1.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9.4.2.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9.4.3.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3,84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9.5.1.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9.5.2.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9.5.3.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3,84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35AC5" w:rsidRDefault="00135AC5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135AC5">
        <w:tc>
          <w:tcPr>
            <w:tcW w:w="709" w:type="dxa"/>
          </w:tcPr>
          <w:p w:rsidR="00135AC5" w:rsidRDefault="00135AC5">
            <w:pPr>
              <w:pStyle w:val="ConsPlusNormal"/>
              <w:jc w:val="center"/>
            </w:pPr>
            <w:r>
              <w:t>9.6.1.</w:t>
            </w: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9.6.2.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9,04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3,82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5,91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9,74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  <w:tr w:rsidR="00135AC5">
        <w:tc>
          <w:tcPr>
            <w:tcW w:w="709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9.6.3.</w:t>
            </w:r>
          </w:p>
        </w:tc>
        <w:tc>
          <w:tcPr>
            <w:tcW w:w="10336" w:type="dxa"/>
            <w:gridSpan w:val="7"/>
          </w:tcPr>
          <w:p w:rsidR="00135AC5" w:rsidRDefault="00135AC5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3,84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6,15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9,80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3,75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5,97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9,51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4,22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7,81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10,30</w:t>
            </w:r>
          </w:p>
        </w:tc>
      </w:tr>
      <w:tr w:rsidR="00135AC5">
        <w:tc>
          <w:tcPr>
            <w:tcW w:w="709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3402" w:type="dxa"/>
          </w:tcPr>
          <w:p w:rsidR="00135AC5" w:rsidRDefault="00135AC5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1,88</w:t>
            </w:r>
          </w:p>
        </w:tc>
        <w:tc>
          <w:tcPr>
            <w:tcW w:w="1134" w:type="dxa"/>
          </w:tcPr>
          <w:p w:rsidR="00135AC5" w:rsidRDefault="00135AC5">
            <w:pPr>
              <w:pStyle w:val="ConsPlusNormal"/>
            </w:pPr>
            <w:r>
              <w:t>3,19</w:t>
            </w:r>
          </w:p>
        </w:tc>
        <w:tc>
          <w:tcPr>
            <w:tcW w:w="1161" w:type="dxa"/>
          </w:tcPr>
          <w:p w:rsidR="00135AC5" w:rsidRDefault="00135AC5">
            <w:pPr>
              <w:pStyle w:val="ConsPlusNormal"/>
            </w:pPr>
            <w:r>
              <w:t>5,08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2,53</w:t>
            </w:r>
          </w:p>
        </w:tc>
        <w:tc>
          <w:tcPr>
            <w:tcW w:w="1143" w:type="dxa"/>
          </w:tcPr>
          <w:p w:rsidR="00135AC5" w:rsidRDefault="00135AC5">
            <w:pPr>
              <w:pStyle w:val="ConsPlusNormal"/>
            </w:pPr>
            <w:r>
              <w:t>4,68</w:t>
            </w:r>
          </w:p>
        </w:tc>
        <w:tc>
          <w:tcPr>
            <w:tcW w:w="1219" w:type="dxa"/>
          </w:tcPr>
          <w:p w:rsidR="00135AC5" w:rsidRDefault="00135AC5">
            <w:pPr>
              <w:pStyle w:val="ConsPlusNormal"/>
            </w:pPr>
            <w:r>
              <w:t>6,18</w:t>
            </w:r>
          </w:p>
        </w:tc>
      </w:tr>
    </w:tbl>
    <w:p w:rsidR="00135AC5" w:rsidRDefault="00135AC5">
      <w:pPr>
        <w:pStyle w:val="ConsPlusNormal"/>
        <w:sectPr w:rsidR="00135AC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right"/>
        <w:outlineLvl w:val="1"/>
      </w:pPr>
      <w:r>
        <w:t>Таблица 2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</w:pPr>
      <w:r>
        <w:t>Диапазоны объемов потребления электрической энергии</w:t>
      </w:r>
    </w:p>
    <w:p w:rsidR="00135AC5" w:rsidRDefault="00135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039"/>
        <w:gridCol w:w="2065"/>
        <w:gridCol w:w="2126"/>
        <w:gridCol w:w="1985"/>
      </w:tblGrid>
      <w:tr w:rsidR="00135AC5">
        <w:tc>
          <w:tcPr>
            <w:tcW w:w="701" w:type="dxa"/>
          </w:tcPr>
          <w:p w:rsidR="00135AC5" w:rsidRDefault="00135AC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Первый диапазон объемов потребления электрической энергии, кВт·ч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Второй диапазон объемов потребления электрической энергии, кВт·ч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Третий диапазон объемов потребления электрической энергии, кВт·ч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803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961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энергии, израсходованной для целей содержания </w:t>
            </w:r>
            <w:r>
              <w:lastRenderedPageBreak/>
              <w:t>общего имущества многоквартирных домов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8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иных случаях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bookmarkStart w:id="5" w:name="P803"/>
            <w:bookmarkEnd w:id="5"/>
            <w:r>
              <w:t>2.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</w:t>
            </w:r>
            <w:r>
              <w:lastRenderedPageBreak/>
              <w:t>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</w:t>
            </w:r>
            <w:r>
              <w:lastRenderedPageBreak/>
              <w:t>электрической энергии в помещениях в многоквартирных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 xml:space="preserve">до 3900 </w:t>
            </w:r>
            <w:r>
              <w:lastRenderedPageBreak/>
              <w:t>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 xml:space="preserve">от 3900 до 6000 </w:t>
            </w:r>
            <w:r>
              <w:lastRenderedPageBreak/>
              <w:t>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</w:t>
            </w:r>
            <w:r>
              <w:lastRenderedPageBreak/>
              <w:t>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 xml:space="preserve">без ограничения </w:t>
            </w:r>
            <w:r>
              <w:lastRenderedPageBreak/>
              <w:t>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</w:t>
            </w:r>
            <w:r>
              <w:lastRenderedPageBreak/>
              <w:t>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bookmarkStart w:id="6" w:name="P882"/>
            <w:bookmarkEnd w:id="6"/>
            <w:r>
              <w:t>5.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</w:t>
            </w:r>
            <w:r>
              <w:lastRenderedPageBreak/>
              <w:t>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 xml:space="preserve">без ограничения </w:t>
            </w:r>
            <w:r>
              <w:lastRenderedPageBreak/>
              <w:t>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</w:t>
            </w:r>
            <w:r>
              <w:lastRenderedPageBreak/>
              <w:t>многоквартирных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</w:t>
            </w:r>
            <w:r>
              <w:lastRenderedPageBreak/>
              <w:t xml:space="preserve">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bookmarkStart w:id="7" w:name="P932"/>
            <w:bookmarkEnd w:id="7"/>
            <w:r>
              <w:t>7.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июль)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</w:pPr>
            <w:r>
              <w:t xml:space="preserve">в отношении объемов потребления </w:t>
            </w:r>
            <w:r>
              <w:lastRenderedPageBreak/>
              <w:t>электрической энергии в помещениях в многоквартирных домах для расчетных периодов (месяцев), не относящихся к отопительному периоду (август)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 xml:space="preserve">до 3900 </w:t>
            </w:r>
            <w:r>
              <w:lastRenderedPageBreak/>
              <w:t>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 xml:space="preserve">от 3900 до 6000 </w:t>
            </w:r>
            <w:r>
              <w:lastRenderedPageBreak/>
              <w:t>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bookmarkStart w:id="8" w:name="P961"/>
            <w:bookmarkEnd w:id="8"/>
            <w:r>
              <w:t>8.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882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932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</w:t>
            </w:r>
            <w:r>
              <w:lastRenderedPageBreak/>
              <w:t xml:space="preserve">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-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</w:tcPr>
          <w:p w:rsidR="00135AC5" w:rsidRDefault="00135A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  <w:tr w:rsidR="00135AC5">
        <w:tc>
          <w:tcPr>
            <w:tcW w:w="701" w:type="dxa"/>
            <w:vMerge w:val="restart"/>
          </w:tcPr>
          <w:p w:rsidR="00135AC5" w:rsidRDefault="00135AC5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10215" w:type="dxa"/>
            <w:gridSpan w:val="4"/>
          </w:tcPr>
          <w:p w:rsidR="00135AC5" w:rsidRDefault="00135AC5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35AC5" w:rsidRDefault="00135AC5">
            <w:pPr>
              <w:pStyle w:val="ConsPlusNormal"/>
              <w:jc w:val="both"/>
            </w:pPr>
            <w:r>
              <w:lastRenderedPageBreak/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135AC5">
        <w:tc>
          <w:tcPr>
            <w:tcW w:w="70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039" w:type="dxa"/>
          </w:tcPr>
          <w:p w:rsidR="00135AC5" w:rsidRDefault="00135AC5">
            <w:pPr>
              <w:pStyle w:val="ConsPlusNormal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2065" w:type="dxa"/>
          </w:tcPr>
          <w:p w:rsidR="00135AC5" w:rsidRDefault="00135AC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2126" w:type="dxa"/>
          </w:tcPr>
          <w:p w:rsidR="00135AC5" w:rsidRDefault="00135AC5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985" w:type="dxa"/>
          </w:tcPr>
          <w:p w:rsidR="00135AC5" w:rsidRDefault="00135AC5">
            <w:pPr>
              <w:pStyle w:val="ConsPlusNormal"/>
              <w:jc w:val="center"/>
            </w:pPr>
            <w:r>
              <w:t>свыше 6000</w:t>
            </w:r>
          </w:p>
        </w:tc>
      </w:tr>
    </w:tbl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right"/>
        <w:outlineLvl w:val="1"/>
      </w:pPr>
      <w:r>
        <w:t>Таблица 3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</w:pPr>
      <w:r>
        <w:t>Понижающие коэффициенты</w:t>
      </w:r>
    </w:p>
    <w:p w:rsidR="00135AC5" w:rsidRDefault="00135AC5">
      <w:pPr>
        <w:pStyle w:val="ConsPlusTitle"/>
        <w:jc w:val="center"/>
      </w:pPr>
      <w:r>
        <w:t>к тарифам на электрическую энергию (мощность)</w:t>
      </w:r>
    </w:p>
    <w:p w:rsidR="00135AC5" w:rsidRDefault="00135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141"/>
        <w:gridCol w:w="992"/>
        <w:gridCol w:w="992"/>
        <w:gridCol w:w="992"/>
        <w:gridCol w:w="992"/>
        <w:gridCol w:w="992"/>
        <w:gridCol w:w="993"/>
      </w:tblGrid>
      <w:tr w:rsidR="00135AC5">
        <w:tc>
          <w:tcPr>
            <w:tcW w:w="821" w:type="dxa"/>
            <w:vMerge w:val="restart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41" w:type="dxa"/>
            <w:vMerge w:val="restart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5953" w:type="dxa"/>
            <w:gridSpan w:val="6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135AC5">
        <w:tc>
          <w:tcPr>
            <w:tcW w:w="82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14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2976" w:type="dxa"/>
            <w:gridSpan w:val="3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2977" w:type="dxa"/>
            <w:gridSpan w:val="3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135AC5">
        <w:tc>
          <w:tcPr>
            <w:tcW w:w="82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4141" w:type="dxa"/>
            <w:vMerge/>
          </w:tcPr>
          <w:p w:rsidR="00135AC5" w:rsidRDefault="00135AC5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Первый диапазон объемов потребления</w:t>
            </w:r>
          </w:p>
        </w:tc>
        <w:tc>
          <w:tcPr>
            <w:tcW w:w="992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Второй диапазон объемов потребления</w:t>
            </w:r>
          </w:p>
        </w:tc>
        <w:tc>
          <w:tcPr>
            <w:tcW w:w="992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Третий диапазон объемов потребления</w:t>
            </w:r>
          </w:p>
        </w:tc>
        <w:tc>
          <w:tcPr>
            <w:tcW w:w="992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Первый диапазон объемов потребления</w:t>
            </w:r>
          </w:p>
        </w:tc>
        <w:tc>
          <w:tcPr>
            <w:tcW w:w="992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Второй диапазон объемов потребления</w:t>
            </w:r>
          </w:p>
        </w:tc>
        <w:tc>
          <w:tcPr>
            <w:tcW w:w="993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t>Третий диапазон объемов потребления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41" w:type="dxa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</w:t>
            </w:r>
            <w:r>
              <w:lastRenderedPageBreak/>
              <w:t>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гарантирующие поставщики, </w:t>
            </w:r>
            <w:r>
              <w:lastRenderedPageBreak/>
              <w:t>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141" w:type="dxa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>
              <w:lastRenderedPageBreak/>
              <w:t>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41" w:type="dxa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</w:t>
            </w:r>
            <w:r>
              <w:lastRenderedPageBreak/>
              <w:t>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bookmarkStart w:id="9" w:name="P1073"/>
            <w:bookmarkEnd w:id="9"/>
            <w:r>
              <w:lastRenderedPageBreak/>
              <w:t>4.</w:t>
            </w:r>
          </w:p>
        </w:tc>
        <w:tc>
          <w:tcPr>
            <w:tcW w:w="4141" w:type="dxa"/>
            <w:vAlign w:val="bottom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>
              <w:lastRenderedPageBreak/>
              <w:t>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41" w:type="dxa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</w:t>
            </w:r>
            <w:r>
              <w:lastRenderedPageBreak/>
              <w:t>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bookmarkStart w:id="10" w:name="P1095"/>
            <w:bookmarkEnd w:id="10"/>
            <w:r>
              <w:lastRenderedPageBreak/>
              <w:t>6.</w:t>
            </w:r>
          </w:p>
        </w:tc>
        <w:tc>
          <w:tcPr>
            <w:tcW w:w="4141" w:type="dxa"/>
          </w:tcPr>
          <w:p w:rsidR="00135AC5" w:rsidRDefault="00135AC5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35AC5" w:rsidRDefault="00135AC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</w:t>
            </w:r>
            <w:r>
              <w:lastRenderedPageBreak/>
              <w:t>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41" w:type="dxa"/>
          </w:tcPr>
          <w:p w:rsidR="00135AC5" w:rsidRDefault="00135AC5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073">
              <w:r>
                <w:rPr>
                  <w:color w:val="0000FF"/>
                </w:rPr>
                <w:t>строках 4</w:t>
              </w:r>
            </w:hyperlink>
            <w:r>
              <w:t xml:space="preserve"> - </w:t>
            </w:r>
            <w:hyperlink w:anchor="P1095">
              <w:r>
                <w:rPr>
                  <w:color w:val="0000FF"/>
                </w:rPr>
                <w:t>6</w:t>
              </w:r>
            </w:hyperlink>
            <w:r>
              <w:t>: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</w:t>
            </w:r>
            <w:r>
              <w:lastRenderedPageBreak/>
              <w:t>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5AC5" w:rsidRDefault="00135AC5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5AC5" w:rsidRDefault="00135AC5">
            <w:pPr>
              <w:pStyle w:val="ConsPlusNormal"/>
              <w:jc w:val="both"/>
            </w:pPr>
            <w:r>
              <w:t xml:space="preserve">гарантирующие поставщики, </w:t>
            </w:r>
            <w:r>
              <w:lastRenderedPageBreak/>
              <w:t>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  <w:vAlign w:val="center"/>
          </w:tcPr>
          <w:p w:rsidR="00135AC5" w:rsidRDefault="00135AC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41" w:type="dxa"/>
            <w:vAlign w:val="bottom"/>
          </w:tcPr>
          <w:p w:rsidR="00135AC5" w:rsidRDefault="00135AC5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</w:pPr>
          </w:p>
        </w:tc>
        <w:tc>
          <w:tcPr>
            <w:tcW w:w="992" w:type="dxa"/>
          </w:tcPr>
          <w:p w:rsidR="00135AC5" w:rsidRDefault="00135AC5">
            <w:pPr>
              <w:pStyle w:val="ConsPlusNormal"/>
            </w:pPr>
          </w:p>
        </w:tc>
        <w:tc>
          <w:tcPr>
            <w:tcW w:w="992" w:type="dxa"/>
          </w:tcPr>
          <w:p w:rsidR="00135AC5" w:rsidRDefault="00135AC5">
            <w:pPr>
              <w:pStyle w:val="ConsPlusNormal"/>
            </w:pPr>
          </w:p>
        </w:tc>
        <w:tc>
          <w:tcPr>
            <w:tcW w:w="992" w:type="dxa"/>
          </w:tcPr>
          <w:p w:rsidR="00135AC5" w:rsidRDefault="00135AC5">
            <w:pPr>
              <w:pStyle w:val="ConsPlusNormal"/>
            </w:pPr>
          </w:p>
        </w:tc>
        <w:tc>
          <w:tcPr>
            <w:tcW w:w="992" w:type="dxa"/>
          </w:tcPr>
          <w:p w:rsidR="00135AC5" w:rsidRDefault="00135AC5">
            <w:pPr>
              <w:pStyle w:val="ConsPlusNormal"/>
            </w:pPr>
          </w:p>
        </w:tc>
        <w:tc>
          <w:tcPr>
            <w:tcW w:w="993" w:type="dxa"/>
          </w:tcPr>
          <w:p w:rsidR="00135AC5" w:rsidRDefault="00135AC5">
            <w:pPr>
              <w:pStyle w:val="ConsPlusNormal"/>
            </w:pP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141" w:type="dxa"/>
            <w:vAlign w:val="bottom"/>
          </w:tcPr>
          <w:p w:rsidR="00135AC5" w:rsidRDefault="00135AC5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141" w:type="dxa"/>
            <w:vAlign w:val="bottom"/>
          </w:tcPr>
          <w:p w:rsidR="00135AC5" w:rsidRDefault="00135AC5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141" w:type="dxa"/>
            <w:vAlign w:val="bottom"/>
          </w:tcPr>
          <w:p w:rsidR="00135AC5" w:rsidRDefault="00135AC5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  <w:tr w:rsidR="00135AC5">
        <w:tc>
          <w:tcPr>
            <w:tcW w:w="821" w:type="dxa"/>
          </w:tcPr>
          <w:p w:rsidR="00135AC5" w:rsidRDefault="00135AC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141" w:type="dxa"/>
            <w:vAlign w:val="bottom"/>
          </w:tcPr>
          <w:p w:rsidR="00135AC5" w:rsidRDefault="00135AC5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35AC5" w:rsidRDefault="00135AC5">
            <w:pPr>
              <w:pStyle w:val="ConsPlusNormal"/>
              <w:jc w:val="center"/>
            </w:pPr>
            <w:r>
              <w:t>1</w:t>
            </w:r>
          </w:p>
        </w:tc>
      </w:tr>
    </w:tbl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A48" w:rsidRDefault="00620A48">
      <w:bookmarkStart w:id="11" w:name="_GoBack"/>
      <w:bookmarkEnd w:id="11"/>
    </w:p>
    <w:sectPr w:rsidR="00620A4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C5"/>
    <w:rsid w:val="00135AC5"/>
    <w:rsid w:val="006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0D69-0633-4F89-8647-6BE53B8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5A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5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5A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5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5A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5A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5A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710&amp;dst=100037" TargetMode="External"/><Relationship Id="rId13" Type="http://schemas.openxmlformats.org/officeDocument/2006/relationships/hyperlink" Target="https://login.consultant.ru/link/?req=doc&amp;base=LAW&amp;n=467710&amp;dst=1000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639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&amp;dst=349" TargetMode="External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LAW&amp;n=483148&amp;dst=1248" TargetMode="Externa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7710&amp;dst=100037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9406</Words>
  <Characters>53619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2024-12-12T15:00:00Z</dcterms:created>
  <dcterms:modified xsi:type="dcterms:W3CDTF">2024-12-12T15:01:00Z</dcterms:modified>
</cp:coreProperties>
</file>