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AB" w:rsidRDefault="00A332A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332AB" w:rsidRDefault="00A332AB">
      <w:pPr>
        <w:pStyle w:val="ConsPlusNormal"/>
        <w:jc w:val="both"/>
        <w:outlineLvl w:val="0"/>
      </w:pPr>
    </w:p>
    <w:p w:rsidR="00A332AB" w:rsidRDefault="00A332AB">
      <w:pPr>
        <w:pStyle w:val="ConsPlusNormal"/>
      </w:pPr>
      <w:r>
        <w:t xml:space="preserve">Зарегистрировано в Администрации Главы </w:t>
      </w:r>
      <w:proofErr w:type="spellStart"/>
      <w:r>
        <w:t>РС</w:t>
      </w:r>
      <w:proofErr w:type="spellEnd"/>
      <w:r>
        <w:t xml:space="preserve">(Я) и Правительства </w:t>
      </w:r>
      <w:proofErr w:type="spellStart"/>
      <w:r>
        <w:t>РС</w:t>
      </w:r>
      <w:proofErr w:type="spellEnd"/>
      <w:r>
        <w:t>(Я) 14 января 2025 г. N RU1401420222414</w:t>
      </w:r>
    </w:p>
    <w:p w:rsidR="00A332AB" w:rsidRDefault="00A332AB">
      <w:pPr>
        <w:pStyle w:val="ConsPlusNormal"/>
        <w:pBdr>
          <w:bottom w:val="single" w:sz="6" w:space="0" w:color="auto"/>
        </w:pBdr>
        <w:spacing w:before="100" w:after="100"/>
        <w:jc w:val="both"/>
        <w:rPr>
          <w:sz w:val="2"/>
          <w:szCs w:val="2"/>
        </w:rPr>
      </w:pPr>
    </w:p>
    <w:p w:rsidR="00A332AB" w:rsidRDefault="00A332AB">
      <w:pPr>
        <w:pStyle w:val="ConsPlusNormal"/>
        <w:jc w:val="both"/>
      </w:pPr>
    </w:p>
    <w:p w:rsidR="00A332AB" w:rsidRDefault="00A332AB">
      <w:pPr>
        <w:pStyle w:val="ConsPlusTitle"/>
        <w:jc w:val="center"/>
      </w:pPr>
      <w:r>
        <w:t>ГОСУДАРСТВЕННЫЙ КОМИТЕТ ПО ЦЕНОВОЙ ПОЛИТИКЕ</w:t>
      </w:r>
    </w:p>
    <w:p w:rsidR="00A332AB" w:rsidRDefault="00A332AB">
      <w:pPr>
        <w:pStyle w:val="ConsPlusTitle"/>
        <w:jc w:val="center"/>
      </w:pPr>
      <w:r>
        <w:t>РЕСПУБЛИКИ САХА (ЯКУТИЯ)</w:t>
      </w:r>
    </w:p>
    <w:p w:rsidR="00A332AB" w:rsidRDefault="00A332AB">
      <w:pPr>
        <w:pStyle w:val="ConsPlusTitle"/>
        <w:jc w:val="both"/>
      </w:pPr>
    </w:p>
    <w:p w:rsidR="00A332AB" w:rsidRDefault="00A332AB">
      <w:pPr>
        <w:pStyle w:val="ConsPlusTitle"/>
        <w:jc w:val="center"/>
      </w:pPr>
      <w:r>
        <w:t>ПОСТАНОВЛЕНИЕ</w:t>
      </w:r>
    </w:p>
    <w:p w:rsidR="00A332AB" w:rsidRDefault="00A332AB">
      <w:pPr>
        <w:pStyle w:val="ConsPlusTitle"/>
        <w:jc w:val="center"/>
      </w:pPr>
      <w:r>
        <w:t>от 10 января 2025 г. N 1</w:t>
      </w:r>
    </w:p>
    <w:p w:rsidR="00A332AB" w:rsidRDefault="00A332AB">
      <w:pPr>
        <w:pStyle w:val="ConsPlusTitle"/>
        <w:jc w:val="both"/>
      </w:pPr>
    </w:p>
    <w:p w:rsidR="00A332AB" w:rsidRDefault="00A332AB">
      <w:pPr>
        <w:pStyle w:val="ConsPlusTitle"/>
        <w:jc w:val="center"/>
      </w:pPr>
      <w:r>
        <w:t>О ВНЕСЕНИИ ИЗМЕНЕНИЙ В ПОСТАНОВЛЕНИЕ ПРАВЛЕНИЯ</w:t>
      </w:r>
    </w:p>
    <w:p w:rsidR="00A332AB" w:rsidRDefault="00A332AB">
      <w:pPr>
        <w:pStyle w:val="ConsPlusTitle"/>
        <w:jc w:val="center"/>
      </w:pPr>
      <w:r>
        <w:t>ГОСУДАРСТВЕННОГО КОМИТЕТА ПО ЦЕНОВОЙ ПОЛИТИКЕ</w:t>
      </w:r>
    </w:p>
    <w:p w:rsidR="00A332AB" w:rsidRDefault="00A332AB">
      <w:pPr>
        <w:pStyle w:val="ConsPlusTitle"/>
        <w:jc w:val="center"/>
      </w:pPr>
      <w:r>
        <w:t>РЕСПУБЛИКИ САХА (ЯКУТИЯ) ОТ 25 НОЯБРЯ 2022 ГОДА N 316</w:t>
      </w:r>
    </w:p>
    <w:p w:rsidR="00A332AB" w:rsidRDefault="00A332AB">
      <w:pPr>
        <w:pStyle w:val="ConsPlusTitle"/>
        <w:jc w:val="center"/>
      </w:pPr>
      <w:r>
        <w:t>"ОБ УСТАНОВЛЕНИИ ЕДИНЫХ (КОТЛОВЫХ) ТАРИФОВ НА УСЛУГИ</w:t>
      </w:r>
    </w:p>
    <w:p w:rsidR="00A332AB" w:rsidRDefault="00A332AB">
      <w:pPr>
        <w:pStyle w:val="ConsPlusTitle"/>
        <w:jc w:val="center"/>
      </w:pPr>
      <w:r>
        <w:t>ПО ПЕРЕДАЧЕ ЭЛЕКТРИЧЕСКОЙ ЭНЕРГИИ (МОЩНОСТИ)</w:t>
      </w:r>
    </w:p>
    <w:p w:rsidR="00A332AB" w:rsidRDefault="00A332AB">
      <w:pPr>
        <w:pStyle w:val="ConsPlusTitle"/>
        <w:jc w:val="center"/>
      </w:pPr>
      <w:r>
        <w:t>НА ТЕРРИТОРИИ РЕСПУБЛИКИ САХА (ЯКУТИЯ)</w:t>
      </w:r>
    </w:p>
    <w:p w:rsidR="00A332AB" w:rsidRDefault="00A332AB">
      <w:pPr>
        <w:pStyle w:val="ConsPlusTitle"/>
        <w:jc w:val="center"/>
      </w:pPr>
      <w:r>
        <w:t>НА ПЕРИОД С 2023 ПО 2027 ГОДЫ", НА 2025 ГОД</w:t>
      </w:r>
    </w:p>
    <w:p w:rsidR="00A332AB" w:rsidRDefault="00A332AB">
      <w:pPr>
        <w:pStyle w:val="ConsPlusNormal"/>
        <w:jc w:val="both"/>
      </w:pPr>
    </w:p>
    <w:p w:rsidR="00A332AB" w:rsidRDefault="00A332AB">
      <w:pPr>
        <w:pStyle w:val="ConsPlusNormal"/>
        <w:ind w:firstLine="540"/>
        <w:jc w:val="both"/>
      </w:pPr>
      <w:r>
        <w:t xml:space="preserve">В соответствии с Федеральным </w:t>
      </w:r>
      <w:hyperlink r:id="rId5">
        <w:r>
          <w:rPr>
            <w:color w:val="0000FF"/>
          </w:rPr>
          <w:t>законом</w:t>
        </w:r>
      </w:hyperlink>
      <w:r>
        <w:t xml:space="preserve"> от 26.03.2003 N 35-ФЗ "Об электроэнергетике", </w:t>
      </w:r>
      <w:hyperlink r:id="rId6">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7">
        <w:r>
          <w:rPr>
            <w:color w:val="0000FF"/>
          </w:rPr>
          <w:t>приказом</w:t>
        </w:r>
      </w:hyperlink>
      <w:r>
        <w:t xml:space="preserve"> ФАС России от 22.07.2024 N 489/24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руководствуясь </w:t>
      </w:r>
      <w:hyperlink r:id="rId8">
        <w:r>
          <w:rPr>
            <w:color w:val="0000FF"/>
          </w:rPr>
          <w:t>Положением</w:t>
        </w:r>
      </w:hyperlink>
      <w:r>
        <w:t xml:space="preserve"> о Государственном комитете по ценовой политике Республики Саха (Якутия), утвержденным постановлением Правительства Республики Саха (Якутия) от 22.11.2007 N 468, и </w:t>
      </w:r>
      <w:hyperlink r:id="rId9">
        <w:r>
          <w:rPr>
            <w:color w:val="0000FF"/>
          </w:rPr>
          <w:t>приказом</w:t>
        </w:r>
      </w:hyperlink>
      <w:r>
        <w:t xml:space="preserve"> Государственного комитета по ценовой политике Республики Саха (Якутия) от 25.05.2020 N 21 "Об утверждении Положения о Правлении Государственного комитета по ценовой политике Республики Саха (Якутия)", Правление Государственного комитета по ценовой политике Республики Саха (Якутия) постановляет:</w:t>
      </w:r>
    </w:p>
    <w:p w:rsidR="00A332AB" w:rsidRDefault="00A332AB">
      <w:pPr>
        <w:pStyle w:val="ConsPlusNormal"/>
        <w:spacing w:before="220"/>
        <w:ind w:firstLine="540"/>
        <w:jc w:val="both"/>
      </w:pPr>
      <w:r>
        <w:t xml:space="preserve">1. Внести в </w:t>
      </w:r>
      <w:hyperlink r:id="rId10">
        <w:r>
          <w:rPr>
            <w:color w:val="0000FF"/>
          </w:rPr>
          <w:t>постановление</w:t>
        </w:r>
      </w:hyperlink>
      <w:r>
        <w:t xml:space="preserve"> Правления Государственного комитета по ценовой политике Республики Саха (Якутия) от 25.11.2022 N 316 "Об установлении единых (котловых) тарифов на услуги по передаче электрической энергии (мощности) на территории Республики Саха (Якутия) на период с 2023 по 2027 годы" на 2025 год следующие изменения:</w:t>
      </w:r>
    </w:p>
    <w:p w:rsidR="00A332AB" w:rsidRDefault="00A332AB">
      <w:pPr>
        <w:pStyle w:val="ConsPlusNormal"/>
        <w:spacing w:before="220"/>
        <w:ind w:firstLine="540"/>
        <w:jc w:val="both"/>
      </w:pPr>
      <w:r>
        <w:t xml:space="preserve">1.1. в </w:t>
      </w:r>
      <w:hyperlink r:id="rId11">
        <w:r>
          <w:rPr>
            <w:color w:val="0000FF"/>
          </w:rPr>
          <w:t>пункте 1 приложения N 2</w:t>
        </w:r>
      </w:hyperlink>
      <w:r>
        <w:t xml:space="preserve"> таблицы "Необходимая валовая выручка,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цифры "12 134 697,87" заменить цифрами "11 989 756,52";</w:t>
      </w:r>
    </w:p>
    <w:p w:rsidR="00A332AB" w:rsidRDefault="00A332AB">
      <w:pPr>
        <w:pStyle w:val="ConsPlusNormal"/>
        <w:spacing w:before="220"/>
        <w:ind w:firstLine="540"/>
        <w:jc w:val="both"/>
      </w:pPr>
      <w:r>
        <w:t xml:space="preserve">1.2. в </w:t>
      </w:r>
      <w:hyperlink r:id="rId12">
        <w:r>
          <w:rPr>
            <w:color w:val="0000FF"/>
          </w:rPr>
          <w:t>пункте 1 приложения N 2</w:t>
        </w:r>
      </w:hyperlink>
      <w:r>
        <w:t xml:space="preserve"> таблицы "Необходимая валовая выручка,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цифры "1 982 177,69" заменить цифрами "1 997 786,45";</w:t>
      </w:r>
    </w:p>
    <w:p w:rsidR="00A332AB" w:rsidRDefault="00A332AB">
      <w:pPr>
        <w:pStyle w:val="ConsPlusNormal"/>
        <w:spacing w:before="220"/>
        <w:ind w:firstLine="540"/>
        <w:jc w:val="both"/>
      </w:pPr>
      <w:r>
        <w:t xml:space="preserve">1.3. в </w:t>
      </w:r>
      <w:hyperlink r:id="rId13">
        <w:r>
          <w:rPr>
            <w:color w:val="0000FF"/>
          </w:rPr>
          <w:t>пункте 1 приложения N 2</w:t>
        </w:r>
      </w:hyperlink>
      <w:r>
        <w:t xml:space="preserve"> таблицы "Необходимая валовая выручка,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цифры "728,44" заменить цифрами "734,20";</w:t>
      </w:r>
    </w:p>
    <w:p w:rsidR="00A332AB" w:rsidRDefault="00A332AB">
      <w:pPr>
        <w:pStyle w:val="ConsPlusNormal"/>
        <w:spacing w:before="220"/>
        <w:ind w:firstLine="540"/>
        <w:jc w:val="both"/>
      </w:pPr>
      <w:r>
        <w:t xml:space="preserve">1.4. в </w:t>
      </w:r>
      <w:hyperlink r:id="rId14">
        <w:r>
          <w:rPr>
            <w:color w:val="0000FF"/>
          </w:rPr>
          <w:t>пункте 4 приложения N 2</w:t>
        </w:r>
      </w:hyperlink>
      <w:r>
        <w:t xml:space="preserve"> таблицы "Необходимая валовая выручка, учтенная при расчете единых (котловых) тарифов на услуги по передаче электрической энергии по электрическим сетям </w:t>
      </w:r>
      <w:r>
        <w:lastRenderedPageBreak/>
        <w:t>по Республике Саха (Якутия) на 2025 год" цифры "346 123,53" заменить цифрами "292 771,38";</w:t>
      </w:r>
    </w:p>
    <w:p w:rsidR="00A332AB" w:rsidRDefault="00A332AB">
      <w:pPr>
        <w:pStyle w:val="ConsPlusNormal"/>
        <w:spacing w:before="220"/>
        <w:ind w:firstLine="540"/>
        <w:jc w:val="both"/>
      </w:pPr>
      <w:r>
        <w:t xml:space="preserve">1.5. в </w:t>
      </w:r>
      <w:hyperlink r:id="rId15">
        <w:r>
          <w:rPr>
            <w:color w:val="0000FF"/>
          </w:rPr>
          <w:t>пункте 4 приложения N 2</w:t>
        </w:r>
      </w:hyperlink>
      <w:r>
        <w:t xml:space="preserve"> таблицы "Необходимая валовая выручка,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цифры "45 942,79" заменить цифрами "39 712,98";</w:t>
      </w:r>
    </w:p>
    <w:p w:rsidR="00A332AB" w:rsidRDefault="00A332AB">
      <w:pPr>
        <w:pStyle w:val="ConsPlusNormal"/>
        <w:spacing w:before="220"/>
        <w:ind w:firstLine="540"/>
        <w:jc w:val="both"/>
      </w:pPr>
      <w:r>
        <w:t xml:space="preserve">1.6. в </w:t>
      </w:r>
      <w:hyperlink r:id="rId16">
        <w:r>
          <w:rPr>
            <w:color w:val="0000FF"/>
          </w:rPr>
          <w:t>пункте 4 приложения N 2</w:t>
        </w:r>
      </w:hyperlink>
      <w:r>
        <w:t xml:space="preserve"> таблицы "Необходимая валовая выручка,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цифры "16,92" заменить цифрами "14,63";</w:t>
      </w:r>
    </w:p>
    <w:p w:rsidR="00A332AB" w:rsidRDefault="00A332AB">
      <w:pPr>
        <w:pStyle w:val="ConsPlusNormal"/>
        <w:spacing w:before="220"/>
        <w:ind w:firstLine="540"/>
        <w:jc w:val="both"/>
      </w:pPr>
      <w:r>
        <w:t xml:space="preserve">1.7. в </w:t>
      </w:r>
      <w:hyperlink r:id="rId17">
        <w:r>
          <w:rPr>
            <w:color w:val="0000FF"/>
          </w:rPr>
          <w:t>строке</w:t>
        </w:r>
      </w:hyperlink>
      <w:r>
        <w:t xml:space="preserve"> "Всего" приложения N 2 таблицы "Необходимая валовая выручка,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цифры "15 095 892,52" заменить цифрами "15 545 751,16";</w:t>
      </w:r>
    </w:p>
    <w:p w:rsidR="00A332AB" w:rsidRDefault="00A332AB">
      <w:pPr>
        <w:pStyle w:val="ConsPlusNormal"/>
        <w:spacing w:before="220"/>
        <w:ind w:firstLine="540"/>
        <w:jc w:val="both"/>
      </w:pPr>
      <w:r>
        <w:t xml:space="preserve">1.8. в </w:t>
      </w:r>
      <w:hyperlink r:id="rId18">
        <w:r>
          <w:rPr>
            <w:color w:val="0000FF"/>
          </w:rPr>
          <w:t>строке</w:t>
        </w:r>
      </w:hyperlink>
      <w:r>
        <w:t xml:space="preserve"> "Всего" приложения N 2 таблицы "Необходимая валовая выручка,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цифры "2 447 645,08" заменить цифрами "2 468 757,26";</w:t>
      </w:r>
    </w:p>
    <w:p w:rsidR="00A332AB" w:rsidRDefault="00A332AB">
      <w:pPr>
        <w:pStyle w:val="ConsPlusNormal"/>
        <w:spacing w:before="220"/>
        <w:ind w:firstLine="540"/>
        <w:jc w:val="both"/>
      </w:pPr>
      <w:r>
        <w:t xml:space="preserve">1.9. в </w:t>
      </w:r>
      <w:hyperlink r:id="rId19">
        <w:r>
          <w:rPr>
            <w:color w:val="0000FF"/>
          </w:rPr>
          <w:t>строке</w:t>
        </w:r>
      </w:hyperlink>
      <w:r>
        <w:t xml:space="preserve"> "Всего" приложения N 2 таблицы "Необходимая валовая выручка,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цифры "899,75" заменить цифрами "907,55";</w:t>
      </w:r>
    </w:p>
    <w:p w:rsidR="00A332AB" w:rsidRDefault="00A332AB">
      <w:pPr>
        <w:pStyle w:val="ConsPlusNormal"/>
        <w:spacing w:before="220"/>
        <w:ind w:firstLine="540"/>
        <w:jc w:val="both"/>
      </w:pPr>
      <w:r>
        <w:t xml:space="preserve">1.10. </w:t>
      </w:r>
      <w:hyperlink r:id="rId20">
        <w:r>
          <w:rPr>
            <w:color w:val="0000FF"/>
          </w:rPr>
          <w:t>таблицу</w:t>
        </w:r>
      </w:hyperlink>
      <w:r>
        <w:t xml:space="preserve"> "Необходимая валовая выру</w:t>
      </w:r>
      <w:bookmarkStart w:id="0" w:name="_GoBack"/>
      <w:bookmarkEnd w:id="0"/>
      <w:r>
        <w:t>чка, учтенная при расчете единых (котловых) тарифов на услуги по передаче электрической энергии по электрическим сетям по Республике Саха (Якутия) на 2025 год" приложения N 2 дополнить пунктами 6, 7 следующего содержания:</w:t>
      </w:r>
    </w:p>
    <w:p w:rsidR="00A332AB" w:rsidRDefault="00A332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2154"/>
        <w:gridCol w:w="1304"/>
        <w:gridCol w:w="1134"/>
        <w:gridCol w:w="1361"/>
        <w:gridCol w:w="1020"/>
      </w:tblGrid>
      <w:tr w:rsidR="00A332AB">
        <w:tc>
          <w:tcPr>
            <w:tcW w:w="468" w:type="dxa"/>
            <w:vAlign w:val="center"/>
          </w:tcPr>
          <w:p w:rsidR="00A332AB" w:rsidRDefault="00A332AB">
            <w:pPr>
              <w:pStyle w:val="ConsPlusNormal"/>
              <w:jc w:val="center"/>
            </w:pPr>
            <w:r>
              <w:t>6.</w:t>
            </w:r>
          </w:p>
        </w:tc>
        <w:tc>
          <w:tcPr>
            <w:tcW w:w="2154" w:type="dxa"/>
            <w:vAlign w:val="center"/>
          </w:tcPr>
          <w:p w:rsidR="00A332AB" w:rsidRDefault="00A332AB">
            <w:pPr>
              <w:pStyle w:val="ConsPlusNormal"/>
              <w:jc w:val="center"/>
            </w:pPr>
            <w:r>
              <w:t xml:space="preserve">СП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1304" w:type="dxa"/>
            <w:vAlign w:val="center"/>
          </w:tcPr>
          <w:p w:rsidR="00A332AB" w:rsidRDefault="00A332AB">
            <w:pPr>
              <w:pStyle w:val="ConsPlusNormal"/>
              <w:jc w:val="center"/>
            </w:pPr>
            <w:r>
              <w:t>68 340,08</w:t>
            </w:r>
          </w:p>
        </w:tc>
        <w:tc>
          <w:tcPr>
            <w:tcW w:w="1134" w:type="dxa"/>
            <w:vAlign w:val="center"/>
          </w:tcPr>
          <w:p w:rsidR="00A332AB" w:rsidRDefault="00A332AB">
            <w:pPr>
              <w:pStyle w:val="ConsPlusNormal"/>
              <w:jc w:val="center"/>
            </w:pPr>
            <w:r>
              <w:t>-</w:t>
            </w:r>
          </w:p>
        </w:tc>
        <w:tc>
          <w:tcPr>
            <w:tcW w:w="1361" w:type="dxa"/>
            <w:vAlign w:val="center"/>
          </w:tcPr>
          <w:p w:rsidR="00A332AB" w:rsidRDefault="00A332AB">
            <w:pPr>
              <w:pStyle w:val="ConsPlusNormal"/>
              <w:jc w:val="center"/>
            </w:pPr>
            <w:r>
              <w:t>4 406,60</w:t>
            </w:r>
          </w:p>
        </w:tc>
        <w:tc>
          <w:tcPr>
            <w:tcW w:w="1020" w:type="dxa"/>
            <w:vAlign w:val="center"/>
          </w:tcPr>
          <w:p w:rsidR="00A332AB" w:rsidRDefault="00A332AB">
            <w:pPr>
              <w:pStyle w:val="ConsPlusNormal"/>
              <w:jc w:val="center"/>
            </w:pPr>
            <w:r>
              <w:t>1,62</w:t>
            </w:r>
          </w:p>
        </w:tc>
      </w:tr>
      <w:tr w:rsidR="00A332AB">
        <w:tc>
          <w:tcPr>
            <w:tcW w:w="468" w:type="dxa"/>
            <w:vAlign w:val="center"/>
          </w:tcPr>
          <w:p w:rsidR="00A332AB" w:rsidRDefault="00A332AB">
            <w:pPr>
              <w:pStyle w:val="ConsPlusNormal"/>
              <w:jc w:val="center"/>
            </w:pPr>
            <w:r>
              <w:t>7.</w:t>
            </w:r>
          </w:p>
        </w:tc>
        <w:tc>
          <w:tcPr>
            <w:tcW w:w="2154" w:type="dxa"/>
            <w:vAlign w:val="center"/>
          </w:tcPr>
          <w:p w:rsidR="00A332AB" w:rsidRDefault="00A332AB">
            <w:pPr>
              <w:pStyle w:val="ConsPlusNormal"/>
              <w:jc w:val="center"/>
            </w:pPr>
            <w:r>
              <w:t>АО "АК "Железные дороги Якутии"</w:t>
            </w:r>
          </w:p>
        </w:tc>
        <w:tc>
          <w:tcPr>
            <w:tcW w:w="1304" w:type="dxa"/>
            <w:vAlign w:val="center"/>
          </w:tcPr>
          <w:p w:rsidR="00A332AB" w:rsidRDefault="00A332AB">
            <w:pPr>
              <w:pStyle w:val="ConsPlusNormal"/>
              <w:jc w:val="center"/>
            </w:pPr>
            <w:r>
              <w:t>108 840,96</w:t>
            </w:r>
          </w:p>
        </w:tc>
        <w:tc>
          <w:tcPr>
            <w:tcW w:w="1134" w:type="dxa"/>
            <w:vAlign w:val="center"/>
          </w:tcPr>
          <w:p w:rsidR="00A332AB" w:rsidRDefault="00A332AB">
            <w:pPr>
              <w:pStyle w:val="ConsPlusNormal"/>
              <w:jc w:val="center"/>
            </w:pPr>
            <w:r>
              <w:t>-</w:t>
            </w:r>
          </w:p>
        </w:tc>
        <w:tc>
          <w:tcPr>
            <w:tcW w:w="1361" w:type="dxa"/>
            <w:vAlign w:val="center"/>
          </w:tcPr>
          <w:p w:rsidR="00A332AB" w:rsidRDefault="00A332AB">
            <w:pPr>
              <w:pStyle w:val="ConsPlusNormal"/>
              <w:jc w:val="center"/>
            </w:pPr>
            <w:r>
              <w:t>7 326,63</w:t>
            </w:r>
          </w:p>
        </w:tc>
        <w:tc>
          <w:tcPr>
            <w:tcW w:w="1020" w:type="dxa"/>
            <w:vAlign w:val="center"/>
          </w:tcPr>
          <w:p w:rsidR="00A332AB" w:rsidRDefault="00A332AB">
            <w:pPr>
              <w:pStyle w:val="ConsPlusNormal"/>
              <w:jc w:val="center"/>
            </w:pPr>
            <w:r>
              <w:t>2,71</w:t>
            </w:r>
          </w:p>
        </w:tc>
      </w:tr>
    </w:tbl>
    <w:p w:rsidR="00A332AB" w:rsidRDefault="00A332AB">
      <w:pPr>
        <w:pStyle w:val="ConsPlusNormal"/>
        <w:jc w:val="both"/>
      </w:pPr>
    </w:p>
    <w:p w:rsidR="00A332AB" w:rsidRDefault="00A332AB">
      <w:pPr>
        <w:pStyle w:val="ConsPlusNormal"/>
        <w:ind w:firstLine="540"/>
        <w:jc w:val="both"/>
      </w:pPr>
      <w:r>
        <w:t>2. Настоящее постановление вступает в силу с момента подписания и распространяет свое действие на правоотношения, возникшие с 1 января 2025 года по 31 декабря 2025 года.</w:t>
      </w:r>
    </w:p>
    <w:p w:rsidR="00A332AB" w:rsidRDefault="00A332AB">
      <w:pPr>
        <w:pStyle w:val="ConsPlusNormal"/>
        <w:spacing w:before="220"/>
        <w:ind w:firstLine="540"/>
        <w:jc w:val="both"/>
      </w:pPr>
      <w:r>
        <w:t>3. Опубликовать настоящее постановление в официальных средствах массовой информации.</w:t>
      </w:r>
    </w:p>
    <w:p w:rsidR="00A332AB" w:rsidRDefault="00A332AB">
      <w:pPr>
        <w:pStyle w:val="ConsPlusNormal"/>
        <w:jc w:val="both"/>
      </w:pPr>
    </w:p>
    <w:p w:rsidR="00A332AB" w:rsidRDefault="00A332AB">
      <w:pPr>
        <w:pStyle w:val="ConsPlusNormal"/>
        <w:jc w:val="right"/>
      </w:pPr>
      <w:r>
        <w:t>Председатель</w:t>
      </w:r>
    </w:p>
    <w:p w:rsidR="00A332AB" w:rsidRDefault="00A332AB">
      <w:pPr>
        <w:pStyle w:val="ConsPlusNormal"/>
        <w:jc w:val="right"/>
      </w:pPr>
      <w:proofErr w:type="spellStart"/>
      <w:r>
        <w:t>Н.В.БОЧКОВ</w:t>
      </w:r>
      <w:proofErr w:type="spellEnd"/>
    </w:p>
    <w:p w:rsidR="00A332AB" w:rsidRDefault="00A332AB">
      <w:pPr>
        <w:pStyle w:val="ConsPlusNormal"/>
        <w:jc w:val="both"/>
      </w:pPr>
    </w:p>
    <w:p w:rsidR="00A332AB" w:rsidRDefault="00A332AB">
      <w:pPr>
        <w:pStyle w:val="ConsPlusNormal"/>
        <w:jc w:val="both"/>
      </w:pPr>
    </w:p>
    <w:p w:rsidR="00A332AB" w:rsidRDefault="00A332AB">
      <w:pPr>
        <w:pStyle w:val="ConsPlusNormal"/>
        <w:pBdr>
          <w:bottom w:val="single" w:sz="6" w:space="0" w:color="auto"/>
        </w:pBdr>
        <w:spacing w:before="100" w:after="100"/>
        <w:jc w:val="both"/>
        <w:rPr>
          <w:sz w:val="2"/>
          <w:szCs w:val="2"/>
        </w:rPr>
      </w:pPr>
    </w:p>
    <w:p w:rsidR="0028511B" w:rsidRDefault="0028511B"/>
    <w:sectPr w:rsidR="0028511B" w:rsidSect="00650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AB"/>
    <w:rsid w:val="0028511B"/>
    <w:rsid w:val="006F6DF0"/>
    <w:rsid w:val="00A332AB"/>
    <w:rsid w:val="00C5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6B6CC-F451-4873-AC46-FE2F8504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2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32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32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9&amp;n=100449&amp;dst=100295" TargetMode="External"/><Relationship Id="rId13" Type="http://schemas.openxmlformats.org/officeDocument/2006/relationships/hyperlink" Target="https://login.consultant.ru/link/?req=doc&amp;base=RLAW249&amp;n=101501&amp;dst=100630" TargetMode="External"/><Relationship Id="rId18" Type="http://schemas.openxmlformats.org/officeDocument/2006/relationships/hyperlink" Target="https://login.consultant.ru/link/?req=doc&amp;base=RLAW249&amp;n=101501&amp;dst=10063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86108" TargetMode="External"/><Relationship Id="rId12" Type="http://schemas.openxmlformats.org/officeDocument/2006/relationships/hyperlink" Target="https://login.consultant.ru/link/?req=doc&amp;base=RLAW249&amp;n=101501&amp;dst=100630" TargetMode="External"/><Relationship Id="rId17" Type="http://schemas.openxmlformats.org/officeDocument/2006/relationships/hyperlink" Target="https://login.consultant.ru/link/?req=doc&amp;base=RLAW249&amp;n=101501&amp;dst=100630" TargetMode="External"/><Relationship Id="rId2" Type="http://schemas.openxmlformats.org/officeDocument/2006/relationships/settings" Target="settings.xml"/><Relationship Id="rId16" Type="http://schemas.openxmlformats.org/officeDocument/2006/relationships/hyperlink" Target="https://login.consultant.ru/link/?req=doc&amp;base=RLAW249&amp;n=101501&amp;dst=100630" TargetMode="External"/><Relationship Id="rId20" Type="http://schemas.openxmlformats.org/officeDocument/2006/relationships/hyperlink" Target="https://login.consultant.ru/link/?req=doc&amp;base=RLAW249&amp;n=101501&amp;dst=100630" TargetMode="External"/><Relationship Id="rId1" Type="http://schemas.openxmlformats.org/officeDocument/2006/relationships/styles" Target="styles.xml"/><Relationship Id="rId6" Type="http://schemas.openxmlformats.org/officeDocument/2006/relationships/hyperlink" Target="https://login.consultant.ru/link/?req=doc&amp;base=LAW&amp;n=479553" TargetMode="External"/><Relationship Id="rId11" Type="http://schemas.openxmlformats.org/officeDocument/2006/relationships/hyperlink" Target="https://login.consultant.ru/link/?req=doc&amp;base=RLAW249&amp;n=101501&amp;dst=100630" TargetMode="External"/><Relationship Id="rId5" Type="http://schemas.openxmlformats.org/officeDocument/2006/relationships/hyperlink" Target="https://login.consultant.ru/link/?req=doc&amp;base=LAW&amp;n=483341" TargetMode="External"/><Relationship Id="rId15" Type="http://schemas.openxmlformats.org/officeDocument/2006/relationships/hyperlink" Target="https://login.consultant.ru/link/?req=doc&amp;base=RLAW249&amp;n=101501&amp;dst=100630" TargetMode="External"/><Relationship Id="rId10" Type="http://schemas.openxmlformats.org/officeDocument/2006/relationships/hyperlink" Target="https://login.consultant.ru/link/?req=doc&amp;base=RLAW249&amp;n=101501" TargetMode="External"/><Relationship Id="rId19" Type="http://schemas.openxmlformats.org/officeDocument/2006/relationships/hyperlink" Target="https://login.consultant.ru/link/?req=doc&amp;base=RLAW249&amp;n=101501&amp;dst=1006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9&amp;n=100959" TargetMode="External"/><Relationship Id="rId14" Type="http://schemas.openxmlformats.org/officeDocument/2006/relationships/hyperlink" Target="https://login.consultant.ru/link/?req=doc&amp;base=RLAW249&amp;n=101501&amp;dst=1006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Виктория Александровна</dc:creator>
  <cp:keywords/>
  <dc:description/>
  <cp:lastModifiedBy>Петрова Виктория Александровна</cp:lastModifiedBy>
  <cp:revision>1</cp:revision>
  <dcterms:created xsi:type="dcterms:W3CDTF">2025-01-23T09:25:00Z</dcterms:created>
  <dcterms:modified xsi:type="dcterms:W3CDTF">2025-01-23T09:26:00Z</dcterms:modified>
</cp:coreProperties>
</file>