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 РОСТОВСКОЙ ОБЛАСТИ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r>
        <w:rPr>
          <w:rFonts w:ascii="Calibri" w:hAnsi="Calibri" w:cs="Calibri"/>
          <w:b/>
          <w:bCs/>
        </w:rPr>
        <w:t>от 25 марта 2014 г. N 10/1</w:t>
      </w:r>
      <w:bookmarkEnd w:id="1"/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РЕГИОНАЛЬНОЙ СЛУЖБЫ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ТАРИФАМ РОСТОВСКОЙ ОБЛАСТИ ОТ 05.08.2013 N 28/1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"ОБ УСТАНОВЛЕНИИ СОЦИАЛЬНОЙ НОРМЫ ПОТРЕБЛЕНИЯ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(МОЩНОСТИ) В РОСТОВСКОЙ ОБЛАСТИ"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25.02.2014 N 136 "О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(мощности)",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Региональной службе по тарифам Ростовской области, утвержденным постановлением Правительства Ростовской области от 13.01.2012 N 20, Региональная служба по тарифам Ростовской области постановляет: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изменение в </w:t>
      </w:r>
      <w:hyperlink r:id="rId7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постановлению Региональной службы по тарифам Ростовской области от 05.08.2013 N 28/1 "Об установлении социальной нормы потребления электрической энергии (мощности) в Ростовской области", изложив его в редакции согласно </w:t>
      </w:r>
      <w:hyperlink w:anchor="Par29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постановлению.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Постановление вступает в силу в установленном порядке и применяется к правоотношениям, возникшим с 1 апреля 2014 года.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Региональной службы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Ростовской области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О.В.НИКОЛАЕВСКИЙ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Приложение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службы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Ростовской области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25.03.2014 N 10/1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423044" w:rsidSect="0042304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9"/>
      <w:bookmarkEnd w:id="3"/>
      <w:r>
        <w:rPr>
          <w:rFonts w:ascii="Calibri" w:hAnsi="Calibri" w:cs="Calibri"/>
          <w:b/>
          <w:bCs/>
        </w:rPr>
        <w:t>СОЦИАЛЬНАЯ НОРМА ПОТРЕБЛЕНИЯ ЭЛЕКТРИЧЕСКОЙ ЭНЕРГИИ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(МОЩНОСТИ) В ОТНОШЕНИИ ГРУПП ДОМОХОЗЯЙСТВ И ТИПОВ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ЖИЛЫХ ПОМЕЩЕНИЙ В РОСТОВСКОЙ ОБЛАСТИ </w:t>
      </w:r>
      <w:hyperlink w:anchor="Par295" w:history="1">
        <w:r>
          <w:rPr>
            <w:rFonts w:ascii="Calibri" w:hAnsi="Calibri" w:cs="Calibri"/>
            <w:b/>
            <w:bCs/>
            <w:color w:val="0000FF"/>
          </w:rPr>
          <w:t>&lt;1&gt;</w:t>
        </w:r>
      </w:hyperlink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980"/>
        <w:gridCol w:w="2400"/>
        <w:gridCol w:w="1200"/>
        <w:gridCol w:w="1200"/>
        <w:gridCol w:w="1200"/>
        <w:gridCol w:w="1200"/>
        <w:gridCol w:w="1200"/>
      </w:tblGrid>
      <w:tr w:rsidR="00423044">
        <w:trPr>
          <w:trHeight w:val="3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п/п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Социальная норма потребления электрической энергии (мощности) для домохозяйств </w:t>
            </w:r>
            <w:hyperlink w:anchor="Par306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</w:tr>
      <w:tr w:rsidR="00423044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группы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группы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группы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группы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группы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44"/>
            <w:bookmarkEnd w:id="4"/>
            <w:r>
              <w:rPr>
                <w:rFonts w:ascii="Calibri" w:hAnsi="Calibri" w:cs="Calibri"/>
              </w:rPr>
              <w:t>Жилые помещения в городских населенных пунктах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аварийном жилищном фонде или жилом фонде со степенью износа 70 процентов и более </w:t>
            </w:r>
            <w:hyperlink w:anchor="Par31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жилищном фонде или жилом фонде со степенью износа 70 процентов и более </w:t>
            </w:r>
            <w:hyperlink w:anchor="Par31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электроотопительными, электронагревательными установками для целей горячего водоснабжения и стационарными электроплитами для приготовления пищи, в отопительный период </w:t>
            </w:r>
            <w:hyperlink w:anchor="Par31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 и стационарными электроплитами для приготовления пищи,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электронагревательными установками для целей горячего водоснабжения и не оборудованные электроотопительными </w:t>
            </w:r>
            <w:r>
              <w:rPr>
                <w:rFonts w:ascii="Calibri" w:hAnsi="Calibri" w:cs="Calibri"/>
              </w:rPr>
              <w:lastRenderedPageBreak/>
              <w:t>установками и стационарными электроплитами для приготовления пищи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1.9.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не оборудованные стационарными электроплитами для приготовления пищи и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не оборудованные стационарными электроплитами для приготовления пищи и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стационарными электроплитами для приготовления пищи и не оборудованные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стационарными электроплитами для приготовления пищи и не оборудованные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электроотопительными </w:t>
            </w:r>
            <w:r>
              <w:rPr>
                <w:rFonts w:ascii="Calibri" w:hAnsi="Calibri" w:cs="Calibri"/>
              </w:rPr>
              <w:lastRenderedPageBreak/>
              <w:t>установками и электронагревательными установками для целей горячего водоснабжения и не оборудованные стационарными электроплитами для приготовления пищи,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электронагревательными установками для целей горячего водоснабжения и не оборудованные стационарными электроплитами для приготовления пищи,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158"/>
            <w:bookmarkEnd w:id="5"/>
            <w:r>
              <w:rPr>
                <w:rFonts w:ascii="Calibri" w:hAnsi="Calibri" w:cs="Calibri"/>
              </w:rPr>
              <w:t>Жилые помещения в сельских населенных пунктах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аварийном жилищном фонде или жилом фонде со степенью износа 70 процентов и более </w:t>
            </w:r>
            <w:hyperlink w:anchor="Par31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стационарными электроплитами для приготовления пищи и не </w:t>
            </w:r>
            <w:r>
              <w:rPr>
                <w:rFonts w:ascii="Calibri" w:hAnsi="Calibri" w:cs="Calibri"/>
              </w:rPr>
              <w:lastRenderedPageBreak/>
              <w:t>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жилищном фонде или жилом фонде со степенью износа 70 процентов и более </w:t>
            </w:r>
            <w:hyperlink w:anchor="Par31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719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электроотопительными, электронагревательными установками для целей горячего водоснабжения и стационарными электроплитами для приготовления пищи, в отопительный период </w:t>
            </w:r>
            <w:hyperlink w:anchor="Par31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 и стационарными электроплитами для приготовления пищи,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</w:t>
            </w:r>
            <w:r>
              <w:rPr>
                <w:rFonts w:ascii="Calibri" w:hAnsi="Calibri" w:cs="Calibri"/>
              </w:rPr>
              <w:lastRenderedPageBreak/>
              <w:t>установленном порядке электронагревательными установками для целей горячего водоснабжения и не оборудованные электроотопительными установками и стационарными электроплитами для приготовления пищи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кВт ч в месяц на </w:t>
            </w:r>
            <w:r>
              <w:rPr>
                <w:rFonts w:ascii="Calibri" w:hAnsi="Calibri" w:cs="Calibri"/>
              </w:rPr>
              <w:lastRenderedPageBreak/>
              <w:t>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2.9.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не оборудованные стационарными электроплитами для приготовления пищи и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не оборудованные стационарными электроплитами для приготовления пищи и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стационарными электроплитами для приготовления пищи и не оборудованные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помещения, оборудованные в установленном порядке электроотопительными установками и стационарными электроплитами для приготовления пищи и не оборудованные электронагревательными установками для целей горячего водоснабжения, вне отопительного </w:t>
            </w:r>
            <w:r>
              <w:rPr>
                <w:rFonts w:ascii="Calibri" w:hAnsi="Calibri" w:cs="Calibri"/>
              </w:rPr>
              <w:lastRenderedPageBreak/>
              <w:t>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электронагревательными установками для целей горячего водоснабжения и не оборудованные стационарными электроплитами для приготовления пищи, в отопительный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помещения, оборудованные в установленном порядке электроотопительными установками и электронагревательными установками для целей горячего водоснабжения и не оборудованные стационарными электроплитами для приготовления пищи, вне отопительного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домохозяйство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272"/>
            <w:bookmarkEnd w:id="6"/>
            <w:r>
              <w:rPr>
                <w:rFonts w:ascii="Calibri" w:hAnsi="Calibri" w:cs="Calibri"/>
              </w:rPr>
              <w:t>Категории потребителей, приравненные к населению</w:t>
            </w:r>
          </w:p>
        </w:tc>
      </w:tr>
      <w:tr w:rsidR="00423044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Садоводческие, огороднические или дачные некоммерческие объединения граждан </w:t>
            </w:r>
            <w:hyperlink w:anchor="Par314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кВт ч в месяц на 1 члена </w:t>
            </w:r>
            <w:proofErr w:type="spellStart"/>
            <w:r>
              <w:rPr>
                <w:rFonts w:ascii="Calibri" w:hAnsi="Calibri" w:cs="Calibri"/>
              </w:rPr>
              <w:t>оъединения</w:t>
            </w:r>
            <w:proofErr w:type="spellEnd"/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Содержащиеся за счет прихожан религиозные организации, в том числе в объемах, связанных с проживанием граждан на территории таких религиозных организаций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организацию и кВт ч в месяц на 1 чел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и 29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Физические лица, владеющие гаражами, хозяйственными постройками (погребами, сараями и иными сооружениями аналогичного назначения) </w:t>
            </w:r>
            <w:hyperlink w:anchor="Par315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гараж или постройку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Юридические лица в части приобретаемого объема электрической энергии (мощности) в целях </w:t>
            </w:r>
            <w:r>
              <w:rPr>
                <w:rFonts w:ascii="Calibri" w:hAnsi="Calibri" w:cs="Calibri"/>
              </w:rPr>
              <w:lastRenderedPageBreak/>
              <w:t xml:space="preserve">потребления осужденными в помещениях для их содержания </w:t>
            </w:r>
            <w:hyperlink w:anchor="Par315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кВт ч в месяц на осужденного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42304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3.5.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 специализированного жилого фонда, в которых проживают граждане, не объединенные совместным ведением хозяйства (шестая группа домохозяйств)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кВт ч в месяц на человека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044" w:rsidRDefault="0042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</w:tbl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04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95"/>
      <w:bookmarkEnd w:id="7"/>
      <w:r>
        <w:rPr>
          <w:rFonts w:ascii="Calibri" w:hAnsi="Calibri" w:cs="Calibri"/>
        </w:rPr>
        <w:t>&lt;1&gt; В первый год применения социальной нормы весь объем электрической энергии оплачивается по цене (тарифу) на электрическую энергию (мощность), установленной для населения и приравненных к нему категорий потребителей в пределах социальной нормы, для следующих домохозяйств: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которых лица, одиноко проживающие в жилом помещении, являются получателями пенсии по старости либо инвалидности (далее - одиноко проживающие пенсионеры);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состоящих только из получателей пенсии по старости либо инвалидности (далее - семьи пенсионеров);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которых проживают семьи, отнесенные в соответствии с нормативными правовыми актами субъекта Российской Федерации к категории многодетных семей;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которых проживают семьи, имеющие в своем составе инвалидов;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которых проживают семьи, имеющие в своем составе детей-инвалидов;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которых проживают семьи, отнесенные к категории замещающих семей, имеющие в своем составе детей, оставшихся без попечения родителей.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в домохозяйстве зарегистрировано более пяти лиц, надбавка к социальной норме составляет 40 </w:t>
      </w:r>
      <w:proofErr w:type="spellStart"/>
      <w:r>
        <w:rPr>
          <w:rFonts w:ascii="Calibri" w:hAnsi="Calibri" w:cs="Calibri"/>
        </w:rPr>
        <w:t>кВтч</w:t>
      </w:r>
      <w:proofErr w:type="spellEnd"/>
      <w:r>
        <w:rPr>
          <w:rFonts w:ascii="Calibri" w:hAnsi="Calibri" w:cs="Calibri"/>
        </w:rPr>
        <w:t xml:space="preserve"> в месяц на каждого последующего человека.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домохозяйств, в которых зарегистрировано более 5 человек, оборудованных в установленном порядке стационарными электроплитами для приготовления пищи, надбавка к социальной норме на использование стационарной электроплиты составляет 43 </w:t>
      </w:r>
      <w:proofErr w:type="spellStart"/>
      <w:r>
        <w:rPr>
          <w:rFonts w:ascii="Calibri" w:hAnsi="Calibri" w:cs="Calibri"/>
        </w:rPr>
        <w:t>кВтч</w:t>
      </w:r>
      <w:proofErr w:type="spellEnd"/>
      <w:r>
        <w:rPr>
          <w:rFonts w:ascii="Calibri" w:hAnsi="Calibri" w:cs="Calibri"/>
        </w:rPr>
        <w:t xml:space="preserve"> в месяц на человека.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домохозяйств, в которых зарегистрировано более 5 человек, оборудованных в установленном порядке электронагревательными установками при отсутствии централизованного горячего водоснабжения, надбавка к социальной норме на использование </w:t>
      </w:r>
      <w:proofErr w:type="spellStart"/>
      <w:r>
        <w:rPr>
          <w:rFonts w:ascii="Calibri" w:hAnsi="Calibri" w:cs="Calibri"/>
        </w:rPr>
        <w:t>указаных</w:t>
      </w:r>
      <w:proofErr w:type="spellEnd"/>
      <w:r>
        <w:rPr>
          <w:rFonts w:ascii="Calibri" w:hAnsi="Calibri" w:cs="Calibri"/>
        </w:rPr>
        <w:t xml:space="preserve"> установок составляет 300 </w:t>
      </w:r>
      <w:proofErr w:type="spellStart"/>
      <w:r>
        <w:rPr>
          <w:rFonts w:ascii="Calibri" w:hAnsi="Calibri" w:cs="Calibri"/>
        </w:rPr>
        <w:t>кВтч</w:t>
      </w:r>
      <w:proofErr w:type="spellEnd"/>
      <w:r>
        <w:rPr>
          <w:rFonts w:ascii="Calibri" w:hAnsi="Calibri" w:cs="Calibri"/>
        </w:rPr>
        <w:t xml:space="preserve"> в месяц на человека.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возникновения у потребителя оснований для оплаты всего объема потребления коммунальной услуги по электроснабжению по цене (тарифу) на электрическую энергию (мощность), установленной для населения и приравненных к нему категорий потребителей в пределах социальной нормы, или в случае отсутствия у исполнителя коммунальных услуг данных об отнесении потребителя к категории одиноко проживающих пенсионеров или семей пенсионеров, такой потребитель направляет исполнителю коммунальной услуги письменное заявление о наличии или возникновении таких оснований, к которому прилагаются копии соответствующих документов.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306"/>
      <w:bookmarkEnd w:id="8"/>
      <w:r>
        <w:rPr>
          <w:rFonts w:ascii="Calibri" w:hAnsi="Calibri" w:cs="Calibri"/>
        </w:rPr>
        <w:t>&lt;2&gt; В случае несоответствия указанной в платежном документе группы домохозяйства фактическому числу лиц, зарегистрированных в жилом помещении или проживающих в жилых помещениях специализированного жилищного фонда (далее - уточнение состава домохозяйства), либо изменения состава домохозяйства потребитель, в отношении которого указанные изменения произошли либо в отношении домохозяйства которого требуется уточнение, направляет уведомление исполнителю коммунальных услуг, предоставляющему указанную услугу в этом жилом помещении, с приложением копии одного из следующих документов, в зависимости от основания такого уточнения либо изменения: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паспорта либо иного основного документа, удостоверяющего личность;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копии документа о временной регистрации, выданного органом регистрационного учета;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копии справки (свидетельства) органов государственной регистрации актов гражданского состояния о смерти или о рождении;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копии справки о проживании в жилых помещениях специализированного жилого фонда.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311"/>
      <w:bookmarkEnd w:id="9"/>
      <w:r>
        <w:rPr>
          <w:rFonts w:ascii="Calibri" w:hAnsi="Calibri" w:cs="Calibri"/>
        </w:rPr>
        <w:t>&lt;3&gt; Отнесение жилых помещений к аварийному жилищному фонду или жилому фонду со степенью износа 70 процентов и более осуществляется комиссией, созданной в установленном порядке для оценки жилых помещений жилищного фонда Ростовской области.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целей применения социальной нормы, утвержденной для жилых помещений, отнесенных к аварийному жилищному фонду или жилому фонду со степенью износа 70 процентов и более, информация о таких потребителях или информация об отнесении жилого помещения к </w:t>
      </w:r>
      <w:proofErr w:type="spellStart"/>
      <w:r>
        <w:rPr>
          <w:rFonts w:ascii="Calibri" w:hAnsi="Calibri" w:cs="Calibri"/>
        </w:rPr>
        <w:t>к</w:t>
      </w:r>
      <w:proofErr w:type="spellEnd"/>
      <w:r>
        <w:rPr>
          <w:rFonts w:ascii="Calibri" w:hAnsi="Calibri" w:cs="Calibri"/>
        </w:rPr>
        <w:t xml:space="preserve"> аварийному жилищному фонду или жилому фонду со степенью износа 70 процентов и более предоставляется указанной комиссией по запросу исполнителям коммунальных услуг безвозмездно. Исполнители коммунальных услуг предоставляют такую информацию поставщикам электрической энергии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</w:t>
      </w:r>
      <w:r>
        <w:rPr>
          <w:rFonts w:ascii="Calibri" w:hAnsi="Calibri" w:cs="Calibri"/>
        </w:rPr>
        <w:lastRenderedPageBreak/>
        <w:t xml:space="preserve">потребительским кооперативом договоров с </w:t>
      </w:r>
      <w:proofErr w:type="spellStart"/>
      <w:r>
        <w:rPr>
          <w:rFonts w:ascii="Calibri" w:hAnsi="Calibri" w:cs="Calibri"/>
        </w:rPr>
        <w:t>ресурсоснабжающими</w:t>
      </w:r>
      <w:proofErr w:type="spellEnd"/>
      <w:r>
        <w:rPr>
          <w:rFonts w:ascii="Calibri" w:hAnsi="Calibri" w:cs="Calibri"/>
        </w:rPr>
        <w:t xml:space="preserve"> организациями, утвержденными Постановлением Правительства Российской Федерации от 14 февраля 2012 г. N 124.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313"/>
      <w:bookmarkEnd w:id="10"/>
      <w:r>
        <w:rPr>
          <w:rFonts w:ascii="Calibri" w:hAnsi="Calibri" w:cs="Calibri"/>
        </w:rPr>
        <w:t xml:space="preserve">&lt;4&gt; Применяется в сроки, определяющие начало и окончание отопительного периода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14"/>
      <w:bookmarkEnd w:id="11"/>
      <w:r>
        <w:rPr>
          <w:rFonts w:ascii="Calibri" w:hAnsi="Calibri" w:cs="Calibri"/>
        </w:rPr>
        <w:t>&lt;5&gt; В случае если граждане зарегистрированы в жилом помещении, располагающемся на территории такого объединения граждан, - принимается равной социальной норме потребления электрической энергии (мощности) для соответствующей группы домохозяйств (с первой группы по пятую).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15"/>
      <w:bookmarkEnd w:id="12"/>
      <w:r>
        <w:rPr>
          <w:rFonts w:ascii="Calibri" w:hAnsi="Calibri" w:cs="Calibri"/>
        </w:rPr>
        <w:t>&lt;6&gt; В части приобретаемого объема электрической энергии в целях потребления на коммунально-бытовые нужды при условии наличия раздельного учета для указанных помещений.</w:t>
      </w: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044" w:rsidRDefault="0042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044" w:rsidRDefault="0042304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647A1" w:rsidRDefault="008647A1"/>
    <w:sectPr w:rsidR="008647A1" w:rsidSect="00423044">
      <w:pgSz w:w="11905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44"/>
    <w:rsid w:val="00423044"/>
    <w:rsid w:val="0086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C8667-ABA6-49EA-BBC6-C3007891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2ABC837AEDE03DA41AC9ADD8203697B834DC43905990059259D8D91CF1483EF17FA7E88857126AF0E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2ABC837AEDE03DA41AD7A0CE4C6992BF3A8B4B9554925BC90683844BF84269B630FEAACC5A13680A3388F9E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2ABC837AEDE03DA41AD7A0CE4C6992BF3A8B4B945C9E54C90683844BF84269B630FEAACC5A13680A318CF9E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22ABC837AEDE03DA41AC9ADD8203697B834DC42985490059259D8D91CFFE1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22ABC837AEDE03DA41AC9ADD8203697B837D446995490059259D8D91CF1483EF17FA7E88857126FF0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2613</Words>
  <Characters>14899</Characters>
  <Application>Microsoft Office Word</Application>
  <DocSecurity>0</DocSecurity>
  <Lines>124</Lines>
  <Paragraphs>34</Paragraphs>
  <ScaleCrop>false</ScaleCrop>
  <Company/>
  <LinksUpToDate>false</LinksUpToDate>
  <CharactersWithSpaces>17478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2015-02-16T07:04:00Z</dcterms:created>
  <dcterms:modified xsi:type="dcterms:W3CDTF">2015-02-16T07:05:00Z</dcterms:modified>
</cp:coreProperties>
</file>