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03" w:rsidRDefault="0086380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63803" w:rsidRDefault="00863803">
      <w:pPr>
        <w:pStyle w:val="ConsPlusNormal"/>
        <w:outlineLvl w:val="0"/>
      </w:pPr>
    </w:p>
    <w:p w:rsidR="00863803" w:rsidRDefault="00863803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863803" w:rsidRDefault="00863803">
      <w:pPr>
        <w:pStyle w:val="ConsPlusTitle"/>
        <w:jc w:val="center"/>
      </w:pPr>
    </w:p>
    <w:p w:rsidR="00863803" w:rsidRDefault="00863803">
      <w:pPr>
        <w:pStyle w:val="ConsPlusTitle"/>
        <w:jc w:val="center"/>
      </w:pPr>
      <w:r>
        <w:t>ПРИКАЗ</w:t>
      </w:r>
    </w:p>
    <w:p w:rsidR="00863803" w:rsidRDefault="00863803">
      <w:pPr>
        <w:pStyle w:val="ConsPlusTitle"/>
        <w:jc w:val="center"/>
      </w:pPr>
      <w:r>
        <w:t>от 25 декабря 2024 г. N 518/85</w:t>
      </w:r>
    </w:p>
    <w:p w:rsidR="00863803" w:rsidRDefault="00863803">
      <w:pPr>
        <w:pStyle w:val="ConsPlusTitle"/>
        <w:jc w:val="center"/>
      </w:pPr>
    </w:p>
    <w:p w:rsidR="00863803" w:rsidRDefault="00863803">
      <w:pPr>
        <w:pStyle w:val="ConsPlusTitle"/>
        <w:jc w:val="center"/>
      </w:pPr>
      <w:r>
        <w:t>О ВНЕСЕНИИ ИЗМЕНЕНИЙ В НЕКОТОРЫЕ ПРИКАЗЫ</w:t>
      </w:r>
    </w:p>
    <w:p w:rsidR="00863803" w:rsidRDefault="00863803">
      <w:pPr>
        <w:pStyle w:val="ConsPlusTitle"/>
        <w:jc w:val="center"/>
      </w:pPr>
      <w:r>
        <w:t>РЕГИОНАЛЬНОЙ ЭНЕРГЕТИЧЕСКОЙ КОМИССИИ ОМСКОЙ ОБЛАСТИ</w:t>
      </w:r>
    </w:p>
    <w:p w:rsidR="00863803" w:rsidRDefault="00863803">
      <w:pPr>
        <w:pStyle w:val="ConsPlusNormal"/>
        <w:jc w:val="center"/>
      </w:pPr>
    </w:p>
    <w:p w:rsidR="00863803" w:rsidRDefault="0086380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Российской Федерации от 27 декабря 2004 года N 861, Методическими </w:t>
      </w:r>
      <w:hyperlink r:id="rId8">
        <w:r>
          <w:rPr>
            <w:color w:val="0000FF"/>
          </w:rPr>
          <w:t>указаниями</w:t>
        </w:r>
      </w:hyperlink>
      <w:r>
        <w:t xml:space="preserve"> по определению размера платы за технологическое присоединение к электрическим сетям, утвержденными приказом ФАС России от 30 июня 2022 года N 490/22, Методическими </w:t>
      </w:r>
      <w:hyperlink r:id="rId9">
        <w:r>
          <w:rPr>
            <w:color w:val="0000FF"/>
          </w:rPr>
          <w:t>указаниями</w:t>
        </w:r>
      </w:hyperlink>
      <w:r>
        <w:t xml:space="preserve"> по определению выпадающих доходов, связанных с осуществлением технологического присоединения к электрическим сетям, утвержденными приказом ФСТ России от 11 сентября 2014 года N 215-э/1, приказываю: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30 ноября 2024 года N 238/74 "Об установлении платы за технологическое присоединение к территориальным распределительным электрическим сетям на территории Омской области на 2025 год" следующие изменения: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приложение N 1</w:t>
        </w:r>
      </w:hyperlink>
      <w:r>
        <w:t xml:space="preserve"> изложить в новой редакции согласно </w:t>
      </w:r>
      <w:hyperlink w:anchor="P48">
        <w:r>
          <w:rPr>
            <w:color w:val="0000FF"/>
          </w:rPr>
          <w:t>приложению</w:t>
        </w:r>
      </w:hyperlink>
      <w:r>
        <w:t xml:space="preserve"> к настоящему приказу;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 xml:space="preserve">2) </w:t>
      </w:r>
      <w:hyperlink r:id="rId12">
        <w:r>
          <w:rPr>
            <w:color w:val="0000FF"/>
          </w:rPr>
          <w:t>раздел 5</w:t>
        </w:r>
      </w:hyperlink>
      <w:r>
        <w:t xml:space="preserve"> приложения N 2 дополнить строками 5.15, 5.16 следующего содержания:</w:t>
      </w:r>
    </w:p>
    <w:p w:rsidR="00863803" w:rsidRDefault="00863803">
      <w:pPr>
        <w:pStyle w:val="ConsPlusNormal"/>
        <w:ind w:firstLine="540"/>
        <w:jc w:val="both"/>
      </w:pPr>
    </w:p>
    <w:p w:rsidR="00863803" w:rsidRDefault="00863803">
      <w:pPr>
        <w:pStyle w:val="ConsPlusNormal"/>
      </w:pPr>
      <w:r>
        <w:t>"</w:t>
      </w:r>
    </w:p>
    <w:p w:rsidR="00863803" w:rsidRDefault="0086380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9"/>
        <w:gridCol w:w="5443"/>
        <w:gridCol w:w="1077"/>
        <w:gridCol w:w="1587"/>
      </w:tblGrid>
      <w:tr w:rsidR="00863803">
        <w:tc>
          <w:tcPr>
            <w:tcW w:w="969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5.15.</w:t>
            </w:r>
          </w:p>
        </w:tc>
        <w:tc>
          <w:tcPr>
            <w:tcW w:w="5443" w:type="dxa"/>
            <w:vAlign w:val="center"/>
          </w:tcPr>
          <w:p w:rsidR="00863803" w:rsidRDefault="00863803">
            <w:pPr>
              <w:pStyle w:val="ConsPlusNormal"/>
            </w:pPr>
            <w:r>
              <w:t>Двухтрансформаторные подстанции с трансформаторной мощностью от 1600 до 2000 кВА включительно, блочного типа</w:t>
            </w:r>
          </w:p>
        </w:tc>
        <w:tc>
          <w:tcPr>
            <w:tcW w:w="107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руб./кВт</w:t>
            </w:r>
          </w:p>
        </w:tc>
        <w:tc>
          <w:tcPr>
            <w:tcW w:w="158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9 437,72</w:t>
            </w:r>
          </w:p>
        </w:tc>
      </w:tr>
      <w:tr w:rsidR="00863803">
        <w:tc>
          <w:tcPr>
            <w:tcW w:w="969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5.16.</w:t>
            </w:r>
          </w:p>
        </w:tc>
        <w:tc>
          <w:tcPr>
            <w:tcW w:w="5443" w:type="dxa"/>
            <w:vAlign w:val="center"/>
          </w:tcPr>
          <w:p w:rsidR="00863803" w:rsidRDefault="00863803">
            <w:pPr>
              <w:pStyle w:val="ConsPlusNormal"/>
            </w:pPr>
            <w:r>
              <w:t>Двухтрансформаторные подстанции с трансформаторной мощностью от 2000 до 2500 кВА включительно, блочного типа</w:t>
            </w:r>
          </w:p>
        </w:tc>
        <w:tc>
          <w:tcPr>
            <w:tcW w:w="107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руб./кВт</w:t>
            </w:r>
          </w:p>
        </w:tc>
        <w:tc>
          <w:tcPr>
            <w:tcW w:w="158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9 027,30</w:t>
            </w:r>
          </w:p>
        </w:tc>
      </w:tr>
    </w:tbl>
    <w:p w:rsidR="00863803" w:rsidRDefault="00863803">
      <w:pPr>
        <w:pStyle w:val="ConsPlusNormal"/>
        <w:jc w:val="right"/>
      </w:pPr>
      <w:r>
        <w:t>".</w:t>
      </w:r>
    </w:p>
    <w:p w:rsidR="00863803" w:rsidRDefault="00863803">
      <w:pPr>
        <w:pStyle w:val="ConsPlusNormal"/>
        <w:ind w:firstLine="540"/>
        <w:jc w:val="both"/>
      </w:pPr>
    </w:p>
    <w:p w:rsidR="00863803" w:rsidRDefault="00863803">
      <w:pPr>
        <w:pStyle w:val="ConsPlusNormal"/>
        <w:ind w:firstLine="540"/>
        <w:jc w:val="both"/>
      </w:pPr>
      <w:r>
        <w:t xml:space="preserve">2. В </w:t>
      </w:r>
      <w:hyperlink r:id="rId13">
        <w:r>
          <w:rPr>
            <w:color w:val="0000FF"/>
          </w:rPr>
          <w:t>пункте 1 таблицы 3</w:t>
        </w:r>
      </w:hyperlink>
      <w:r>
        <w:t xml:space="preserve"> приложения N 5 к приказу Региональной энергетической комиссии Омской области от 28 ноября 2022 года N 526/67 "Об установлении единых (котловых) тарифов на услуги по передаче электрической энергии по электрическим сетям Омской области на 2023 - 2027 годы" цифры "634,747" заменить цифрами "634,393".</w:t>
      </w:r>
    </w:p>
    <w:p w:rsidR="00863803" w:rsidRDefault="00863803">
      <w:pPr>
        <w:pStyle w:val="ConsPlusNormal"/>
        <w:jc w:val="right"/>
      </w:pPr>
    </w:p>
    <w:p w:rsidR="00863803" w:rsidRDefault="00863803">
      <w:pPr>
        <w:pStyle w:val="ConsPlusNormal"/>
        <w:jc w:val="right"/>
      </w:pPr>
      <w:r>
        <w:t>Председатель Региональной</w:t>
      </w:r>
    </w:p>
    <w:p w:rsidR="00863803" w:rsidRDefault="00863803">
      <w:pPr>
        <w:pStyle w:val="ConsPlusNormal"/>
        <w:jc w:val="right"/>
      </w:pPr>
      <w:r>
        <w:t>энергетической комиссии</w:t>
      </w:r>
    </w:p>
    <w:p w:rsidR="00863803" w:rsidRDefault="00863803">
      <w:pPr>
        <w:pStyle w:val="ConsPlusNormal"/>
        <w:jc w:val="right"/>
      </w:pPr>
      <w:r>
        <w:t>Омской области</w:t>
      </w:r>
    </w:p>
    <w:p w:rsidR="00863803" w:rsidRDefault="00863803">
      <w:pPr>
        <w:pStyle w:val="ConsPlusNormal"/>
        <w:jc w:val="right"/>
      </w:pPr>
      <w:r>
        <w:t>Д.А.Русских</w:t>
      </w:r>
    </w:p>
    <w:p w:rsidR="00863803" w:rsidRDefault="00863803">
      <w:pPr>
        <w:pStyle w:val="ConsPlusNormal"/>
        <w:jc w:val="right"/>
      </w:pPr>
    </w:p>
    <w:p w:rsidR="00863803" w:rsidRDefault="00863803">
      <w:pPr>
        <w:pStyle w:val="ConsPlusNormal"/>
        <w:jc w:val="right"/>
      </w:pPr>
    </w:p>
    <w:p w:rsidR="00863803" w:rsidRDefault="00863803">
      <w:pPr>
        <w:pStyle w:val="ConsPlusNormal"/>
        <w:jc w:val="right"/>
      </w:pPr>
    </w:p>
    <w:p w:rsidR="00863803" w:rsidRDefault="00863803">
      <w:pPr>
        <w:pStyle w:val="ConsPlusNormal"/>
        <w:jc w:val="right"/>
      </w:pPr>
    </w:p>
    <w:p w:rsidR="00863803" w:rsidRDefault="00863803">
      <w:pPr>
        <w:pStyle w:val="ConsPlusNormal"/>
        <w:jc w:val="right"/>
      </w:pPr>
    </w:p>
    <w:p w:rsidR="00863803" w:rsidRDefault="00863803">
      <w:pPr>
        <w:pStyle w:val="ConsPlusNormal"/>
        <w:jc w:val="right"/>
        <w:outlineLvl w:val="0"/>
      </w:pPr>
      <w:r>
        <w:t>Приложение</w:t>
      </w:r>
    </w:p>
    <w:p w:rsidR="00863803" w:rsidRDefault="00863803">
      <w:pPr>
        <w:pStyle w:val="ConsPlusNormal"/>
        <w:jc w:val="right"/>
      </w:pPr>
      <w:r>
        <w:t>к приказу Региональной</w:t>
      </w:r>
    </w:p>
    <w:p w:rsidR="00863803" w:rsidRDefault="00863803">
      <w:pPr>
        <w:pStyle w:val="ConsPlusNormal"/>
        <w:jc w:val="right"/>
      </w:pPr>
      <w:r>
        <w:t>энергетической комиссии</w:t>
      </w:r>
    </w:p>
    <w:p w:rsidR="00863803" w:rsidRDefault="00863803">
      <w:pPr>
        <w:pStyle w:val="ConsPlusNormal"/>
        <w:jc w:val="right"/>
      </w:pPr>
      <w:r>
        <w:t>Омской области</w:t>
      </w:r>
    </w:p>
    <w:p w:rsidR="00863803" w:rsidRDefault="00863803">
      <w:pPr>
        <w:pStyle w:val="ConsPlusNormal"/>
        <w:jc w:val="right"/>
      </w:pPr>
      <w:r>
        <w:t>от 25 декабря 2024 г. N 518/85</w:t>
      </w:r>
    </w:p>
    <w:p w:rsidR="00863803" w:rsidRDefault="00863803">
      <w:pPr>
        <w:pStyle w:val="ConsPlusNormal"/>
        <w:jc w:val="right"/>
      </w:pPr>
    </w:p>
    <w:p w:rsidR="00863803" w:rsidRDefault="00863803">
      <w:pPr>
        <w:pStyle w:val="ConsPlusNormal"/>
        <w:jc w:val="right"/>
      </w:pPr>
      <w:r>
        <w:t>"Приложение N 1</w:t>
      </w:r>
    </w:p>
    <w:p w:rsidR="00863803" w:rsidRDefault="00863803">
      <w:pPr>
        <w:pStyle w:val="ConsPlusNormal"/>
        <w:jc w:val="right"/>
      </w:pPr>
      <w:r>
        <w:t>к приказу Региональной</w:t>
      </w:r>
    </w:p>
    <w:p w:rsidR="00863803" w:rsidRDefault="00863803">
      <w:pPr>
        <w:pStyle w:val="ConsPlusNormal"/>
        <w:jc w:val="right"/>
      </w:pPr>
      <w:r>
        <w:t>энергетической комиссии</w:t>
      </w:r>
    </w:p>
    <w:p w:rsidR="00863803" w:rsidRDefault="00863803">
      <w:pPr>
        <w:pStyle w:val="ConsPlusNormal"/>
        <w:jc w:val="right"/>
      </w:pPr>
      <w:r>
        <w:t>Омской области</w:t>
      </w:r>
    </w:p>
    <w:p w:rsidR="00863803" w:rsidRDefault="00863803">
      <w:pPr>
        <w:pStyle w:val="ConsPlusNormal"/>
        <w:jc w:val="right"/>
      </w:pPr>
      <w:r>
        <w:t>от 30 ноября 2024 г. N 238/74</w:t>
      </w:r>
    </w:p>
    <w:p w:rsidR="00863803" w:rsidRDefault="00863803">
      <w:pPr>
        <w:pStyle w:val="ConsPlusNormal"/>
        <w:jc w:val="center"/>
      </w:pPr>
    </w:p>
    <w:p w:rsidR="00863803" w:rsidRDefault="00863803">
      <w:pPr>
        <w:pStyle w:val="ConsPlusTitle"/>
        <w:jc w:val="center"/>
      </w:pPr>
      <w:bookmarkStart w:id="0" w:name="P48"/>
      <w:bookmarkEnd w:id="0"/>
      <w:r>
        <w:t>ЛЬГОТНЫЕ СТАВКИ</w:t>
      </w:r>
    </w:p>
    <w:p w:rsidR="00863803" w:rsidRDefault="00863803">
      <w:pPr>
        <w:pStyle w:val="ConsPlusTitle"/>
        <w:jc w:val="center"/>
      </w:pPr>
      <w:r>
        <w:t>за 1 кВт запрашиваемой максимальной мощности в отношении</w:t>
      </w:r>
    </w:p>
    <w:p w:rsidR="00863803" w:rsidRDefault="00863803">
      <w:pPr>
        <w:pStyle w:val="ConsPlusTitle"/>
        <w:jc w:val="center"/>
      </w:pPr>
      <w:r>
        <w:t>всей совокупности мероприятий по технологическому</w:t>
      </w:r>
    </w:p>
    <w:p w:rsidR="00863803" w:rsidRDefault="00863803">
      <w:pPr>
        <w:pStyle w:val="ConsPlusTitle"/>
        <w:jc w:val="center"/>
      </w:pPr>
      <w:r>
        <w:t>присоединению к электрическим сетям сетевых организаций</w:t>
      </w:r>
    </w:p>
    <w:p w:rsidR="00863803" w:rsidRDefault="00863803">
      <w:pPr>
        <w:pStyle w:val="ConsPlusTitle"/>
        <w:jc w:val="center"/>
      </w:pPr>
      <w:r>
        <w:t>на территории Омской области</w:t>
      </w:r>
    </w:p>
    <w:p w:rsidR="00863803" w:rsidRDefault="0086380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329"/>
        <w:gridCol w:w="1587"/>
        <w:gridCol w:w="1587"/>
      </w:tblGrid>
      <w:tr w:rsidR="00863803">
        <w:tc>
          <w:tcPr>
            <w:tcW w:w="56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329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Наименование ставок</w:t>
            </w:r>
          </w:p>
        </w:tc>
        <w:tc>
          <w:tcPr>
            <w:tcW w:w="158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Ставка, руб. за кВт (с учетом НДС) действует с 01.01.2025 по 30.06.2025</w:t>
            </w:r>
          </w:p>
        </w:tc>
        <w:tc>
          <w:tcPr>
            <w:tcW w:w="158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Ставка, руб. за кВт (с учетом НДС) действует с 01.07.2025 по 31.12.2025</w:t>
            </w:r>
          </w:p>
        </w:tc>
      </w:tr>
      <w:tr w:rsidR="00863803">
        <w:tc>
          <w:tcPr>
            <w:tcW w:w="567" w:type="dxa"/>
          </w:tcPr>
          <w:p w:rsidR="00863803" w:rsidRDefault="0086380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</w:tcPr>
          <w:p w:rsidR="00863803" w:rsidRDefault="0086380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863803" w:rsidRDefault="00863803">
            <w:pPr>
              <w:pStyle w:val="ConsPlusNormal"/>
              <w:jc w:val="center"/>
            </w:pPr>
            <w:r>
              <w:t>4</w:t>
            </w:r>
          </w:p>
        </w:tc>
      </w:tr>
      <w:tr w:rsidR="00863803">
        <w:tc>
          <w:tcPr>
            <w:tcW w:w="567" w:type="dxa"/>
          </w:tcPr>
          <w:p w:rsidR="00863803" w:rsidRDefault="0086380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</w:tcPr>
          <w:p w:rsidR="00863803" w:rsidRDefault="00863803">
            <w:pPr>
              <w:pStyle w:val="ConsPlusNormal"/>
              <w:ind w:firstLine="283"/>
              <w:jc w:val="both"/>
            </w:pPr>
            <w:r>
              <w:t>Льготная ставка за 1 кВт запрашиваемой максимальной мощности в отношении всей совокупности мероприятий по технологическому присоединению для определения стоимости мероприятий в случае технологического присоединения объектов, отнесенных к третьей категории надежности (по одному источнику электроснабжения), присоединяемых к объектам электросетевого хозяйства сетевой организации на уровне напряжения 0,4 кВ и ниже, при условии, что расстояние от границ участка заявителя до ближайшего объекта электрической сети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в отношении: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- объектов микрогенерации заявителей - физических лиц, в том числе за одновременное технологическое присоединение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</w:t>
            </w:r>
            <w:r>
              <w:lastRenderedPageBreak/>
              <w:t>которые используются для бытовых и иных нужд, не связанных с осуществлением предпринимательской деятельности, и объектов микрогенерации;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>- энергопринимающих устройств заявителей -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деятельности.</w:t>
            </w:r>
          </w:p>
        </w:tc>
        <w:tc>
          <w:tcPr>
            <w:tcW w:w="1587" w:type="dxa"/>
          </w:tcPr>
          <w:p w:rsidR="00863803" w:rsidRDefault="00863803">
            <w:pPr>
              <w:pStyle w:val="ConsPlusNormal"/>
              <w:jc w:val="center"/>
            </w:pPr>
            <w:r>
              <w:lastRenderedPageBreak/>
              <w:t>10 000,00</w:t>
            </w:r>
          </w:p>
        </w:tc>
        <w:tc>
          <w:tcPr>
            <w:tcW w:w="1587" w:type="dxa"/>
          </w:tcPr>
          <w:p w:rsidR="00863803" w:rsidRDefault="00863803">
            <w:pPr>
              <w:pStyle w:val="ConsPlusNormal"/>
              <w:jc w:val="center"/>
            </w:pPr>
            <w:r>
              <w:t>10 000,00</w:t>
            </w:r>
          </w:p>
        </w:tc>
      </w:tr>
      <w:tr w:rsidR="00863803">
        <w:tc>
          <w:tcPr>
            <w:tcW w:w="567" w:type="dxa"/>
          </w:tcPr>
          <w:p w:rsidR="00863803" w:rsidRDefault="0086380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863803" w:rsidRDefault="00863803">
            <w:pPr>
              <w:pStyle w:val="ConsPlusNormal"/>
              <w:ind w:firstLine="283"/>
              <w:jc w:val="both"/>
            </w:pPr>
            <w:r>
              <w:t>Льготная ставка за 1 кВт запрашиваемой максимальной мощности в отношении всей совокупности мероприятий по технологическому присоединению для определения стоимости мероприятий в случае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 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в случае подачи заявки юридическим лицом или индивидуальным предпринимателем в целях технологического присоединения.</w:t>
            </w:r>
          </w:p>
        </w:tc>
        <w:tc>
          <w:tcPr>
            <w:tcW w:w="1587" w:type="dxa"/>
          </w:tcPr>
          <w:p w:rsidR="00863803" w:rsidRDefault="00863803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587" w:type="dxa"/>
          </w:tcPr>
          <w:p w:rsidR="00863803" w:rsidRDefault="00863803">
            <w:pPr>
              <w:pStyle w:val="ConsPlusNormal"/>
              <w:jc w:val="center"/>
            </w:pPr>
            <w:r>
              <w:t>10 000,00</w:t>
            </w:r>
          </w:p>
        </w:tc>
      </w:tr>
      <w:tr w:rsidR="0086380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63803" w:rsidRDefault="0086380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bottom w:val="nil"/>
            </w:tcBorders>
          </w:tcPr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Льготная ставка за 1 кВт запрашиваемой максимальной мощности в отношении всей совокупности мероприятий по технологическому присоединению для определения стоимости мероприятий при присоединении энергопринимающих устройств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местности, плата за технологическое присоединение объектов микрогенерации, в том числе за одновременное </w:t>
            </w:r>
            <w:r>
              <w:lastRenderedPageBreak/>
              <w:t xml:space="preserve">технологическое присоединение энергопринимающих устройств и объектов микрогенерации, и энергопринимающих устройств заявителей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 для случаев заключения договора технологического присоединения членом малоимущей семьи (одиноко проживающим гражданином), среднедушевой доход которого ниже величины прожиточного минимума, установленного в Омской области, определенным в соответствии с Федеральным </w:t>
            </w:r>
            <w:hyperlink r:id="rId14">
              <w:r>
                <w:rPr>
                  <w:color w:val="0000FF"/>
                </w:rPr>
                <w:t>законом</w:t>
              </w:r>
            </w:hyperlink>
            <w:r>
              <w:t xml:space="preserve"> "О прожиточном минимуме в Российской Федерации", а также лицами, указанными: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в </w:t>
            </w:r>
            <w:hyperlink r:id="rId15">
              <w:r>
                <w:rPr>
                  <w:color w:val="0000FF"/>
                </w:rPr>
                <w:t>статьях 14</w:t>
              </w:r>
            </w:hyperlink>
            <w:r>
              <w:t xml:space="preserve"> - </w:t>
            </w:r>
            <w:hyperlink r:id="rId16">
              <w:r>
                <w:rPr>
                  <w:color w:val="0000FF"/>
                </w:rPr>
                <w:t>16</w:t>
              </w:r>
            </w:hyperlink>
            <w:r>
              <w:t xml:space="preserve">, </w:t>
            </w:r>
            <w:hyperlink r:id="rId17">
              <w:r>
                <w:rPr>
                  <w:color w:val="0000FF"/>
                </w:rPr>
                <w:t>18</w:t>
              </w:r>
            </w:hyperlink>
            <w:r>
              <w:t xml:space="preserve"> и </w:t>
            </w:r>
            <w:hyperlink r:id="rId18">
              <w:r>
                <w:rPr>
                  <w:color w:val="0000FF"/>
                </w:rPr>
                <w:t>21</w:t>
              </w:r>
            </w:hyperlink>
            <w:r>
              <w:t xml:space="preserve"> Федерального закона "О ветеранах"; в </w:t>
            </w:r>
            <w:hyperlink r:id="rId19">
              <w:r>
                <w:rPr>
                  <w:color w:val="0000FF"/>
                </w:rPr>
                <w:t>статье 17</w:t>
              </w:r>
            </w:hyperlink>
            <w:r>
              <w:t xml:space="preserve"> Федерального закона "О социальной защите инвалидов в Российской Федерации" (вне зависимости от того, являются ли лица, указанные в </w:t>
            </w:r>
            <w:hyperlink r:id="rId20">
              <w:r>
                <w:rPr>
                  <w:color w:val="0000FF"/>
                </w:rPr>
                <w:t>статье 17</w:t>
              </w:r>
            </w:hyperlink>
            <w:r>
              <w:t xml:space="preserve"> Федерального закона "О социальной защите инвалидов в Российской Федерации", нуждающимися в улучшении жилищных условий);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в </w:t>
            </w:r>
            <w:hyperlink r:id="rId21">
              <w:r>
                <w:rPr>
                  <w:color w:val="0000FF"/>
                </w:rPr>
                <w:t>статье 14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АЭС";</w:t>
            </w:r>
          </w:p>
        </w:tc>
        <w:tc>
          <w:tcPr>
            <w:tcW w:w="1587" w:type="dxa"/>
            <w:tcBorders>
              <w:bottom w:val="nil"/>
            </w:tcBorders>
          </w:tcPr>
          <w:p w:rsidR="00863803" w:rsidRDefault="00863803">
            <w:pPr>
              <w:pStyle w:val="ConsPlusNormal"/>
              <w:jc w:val="center"/>
            </w:pPr>
            <w:r>
              <w:lastRenderedPageBreak/>
              <w:t>1 198,77</w:t>
            </w:r>
          </w:p>
        </w:tc>
        <w:tc>
          <w:tcPr>
            <w:tcW w:w="1587" w:type="dxa"/>
            <w:tcBorders>
              <w:bottom w:val="nil"/>
            </w:tcBorders>
          </w:tcPr>
          <w:p w:rsidR="00863803" w:rsidRDefault="00863803">
            <w:pPr>
              <w:pStyle w:val="ConsPlusNormal"/>
              <w:jc w:val="center"/>
            </w:pPr>
            <w:r>
              <w:t>1 198,77</w:t>
            </w:r>
          </w:p>
        </w:tc>
      </w:tr>
      <w:tr w:rsidR="00863803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63803" w:rsidRDefault="00863803">
            <w:pPr>
              <w:pStyle w:val="ConsPlusNormal"/>
              <w:jc w:val="both"/>
            </w:pPr>
          </w:p>
        </w:tc>
        <w:tc>
          <w:tcPr>
            <w:tcW w:w="5329" w:type="dxa"/>
            <w:tcBorders>
              <w:top w:val="nil"/>
            </w:tcBorders>
          </w:tcPr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в </w:t>
            </w:r>
            <w:hyperlink r:id="rId22">
              <w:r>
                <w:rPr>
                  <w:color w:val="0000FF"/>
                </w:rPr>
                <w:t>статье 2</w:t>
              </w:r>
            </w:hyperlink>
            <w:r>
              <w:t xml:space="preserve"> Федерального закона "О 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в </w:t>
            </w:r>
            <w:hyperlink r:id="rId23">
              <w:r>
                <w:rPr>
                  <w:color w:val="0000FF"/>
                </w:rPr>
                <w:t>части 8 статьи 154</w:t>
              </w:r>
            </w:hyperlink>
            <w:r>
              <w:t xml:space="preserve">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Федерации";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в </w:t>
            </w:r>
            <w:hyperlink r:id="rId24">
              <w:r>
                <w:rPr>
                  <w:color w:val="0000FF"/>
                </w:rPr>
                <w:t>статье 1</w:t>
              </w:r>
            </w:hyperlink>
            <w:r>
              <w:t xml:space="preserve"> Федерального закона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Теча";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в </w:t>
            </w:r>
            <w:hyperlink r:id="rId25">
              <w:r>
                <w:rPr>
                  <w:color w:val="0000FF"/>
                </w:rPr>
                <w:t>пункте 1</w:t>
              </w:r>
            </w:hyperlink>
            <w:r>
              <w:t xml:space="preserve"> и </w:t>
            </w:r>
            <w:hyperlink r:id="rId26">
              <w:r>
                <w:rPr>
                  <w:color w:val="0000FF"/>
                </w:rPr>
                <w:t>абзаце четвертом пункта 2</w:t>
              </w:r>
            </w:hyperlink>
            <w:r>
              <w:t xml:space="preserve"> постановления Верховного Совета Российской Федерации от 27 декабря 1991 года N 2123-1 "О распространении действия Закона РСФСР "О социальной защите граждан, подвергшихся </w:t>
            </w:r>
            <w:r>
              <w:lastRenderedPageBreak/>
              <w:t>воздействию радиации вследствие катастрофы на Чернобыльской АЭС" на граждан из подразделений особого риска";</w:t>
            </w:r>
          </w:p>
          <w:p w:rsidR="00863803" w:rsidRDefault="00863803">
            <w:pPr>
              <w:pStyle w:val="ConsPlusNormal"/>
              <w:ind w:firstLine="283"/>
              <w:jc w:val="both"/>
            </w:pPr>
            <w:r>
              <w:t xml:space="preserve">в </w:t>
            </w:r>
            <w:hyperlink r:id="rId27">
              <w:r>
                <w:rPr>
                  <w:color w:val="0000FF"/>
                </w:rPr>
                <w:t>Указе</w:t>
              </w:r>
            </w:hyperlink>
            <w:r>
              <w:t xml:space="preserve"> Президента Российской Федерации от 23 января 2024 года N 63 "О мерах по социальной поддержке многодетных семей"</w:t>
            </w:r>
          </w:p>
        </w:tc>
        <w:tc>
          <w:tcPr>
            <w:tcW w:w="1587" w:type="dxa"/>
            <w:tcBorders>
              <w:top w:val="nil"/>
            </w:tcBorders>
          </w:tcPr>
          <w:p w:rsidR="00863803" w:rsidRDefault="00863803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nil"/>
            </w:tcBorders>
          </w:tcPr>
          <w:p w:rsidR="00863803" w:rsidRDefault="00863803">
            <w:pPr>
              <w:pStyle w:val="ConsPlusNormal"/>
              <w:jc w:val="both"/>
            </w:pPr>
          </w:p>
        </w:tc>
      </w:tr>
    </w:tbl>
    <w:p w:rsidR="00863803" w:rsidRDefault="00863803">
      <w:pPr>
        <w:pStyle w:val="ConsPlusNormal"/>
        <w:ind w:firstLine="540"/>
        <w:jc w:val="both"/>
      </w:pPr>
    </w:p>
    <w:p w:rsidR="00863803" w:rsidRDefault="00863803">
      <w:pPr>
        <w:pStyle w:val="ConsPlusNormal"/>
        <w:ind w:firstLine="540"/>
        <w:jc w:val="both"/>
      </w:pPr>
      <w:r>
        <w:t>Примечание.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>Положения настоящего приложения не могут быть применены в следующих случаях: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>при технологическом присоединении энергопринимающих устройств (объектов микрогенерации), принадлежащих лицам, которым права владения и (или) пользования земельным участком (в том числе при его использовании без предоставления на основании разрешения) и (или) объектом капитального строительства (нежилым помещением в объекте капитального строительства) предоставлены на срок не более одного года;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>при технологическом присоединении энергопринимающих устройств (объектов микрогенерации), расположенных в жилых помещениях многоквартирных домов;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>при технологическом присоединении в границах территории Омской области энергопринимающих устройств (объектов микрогенерации), если лицом, обратившимся с заявкой, лицом, передавшим заявителю права владения объектом капитального строительства (нежилым помещением в нем) и (или) земельным участком (в том числе их частью), на которых или в которых расположены (будут располагаться) энергопринимающие устройства заявителя), ранее уже подана заявка, которая не была аннулирована, или заключен договор в целях технологического присоединения энергопринимающих устройств (объектов микрогенерации), соответствующих указанным критериям, расположенных (предполагаемых к расположению в соответствии поданной заявкой) в границах территории Омской области, при условии, что со дня заключения такого договора не истекло 3 года;</w:t>
      </w:r>
    </w:p>
    <w:p w:rsidR="00863803" w:rsidRDefault="00863803">
      <w:pPr>
        <w:pStyle w:val="ConsPlusNormal"/>
        <w:spacing w:before="220"/>
        <w:ind w:firstLine="540"/>
        <w:jc w:val="both"/>
      </w:pPr>
      <w:r>
        <w:t xml:space="preserve">при технологическом присоединении энергопринимающих устройств заявителей, если такие устройства расположены (будут располагаться) в границах того же земельного участка (или в границах того же сервитута либо территории, используемой на основании разрешения без предоставления земельного участка или установления сервитута), на котором расположены (будут располагаться) энергопринимающие устройства, в отношении которых ранее уже была подана заявка, которая не была аннулирована в соответствии с </w:t>
      </w:r>
      <w:hyperlink r:id="rId28">
        <w:r>
          <w:rPr>
            <w:color w:val="0000FF"/>
          </w:rPr>
          <w:t>Правилами</w:t>
        </w:r>
      </w:hyperlink>
      <w: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от 27 декабря 2004 года N 861, или заключен договор в целях технологического присоединения энергопринимающих устройств, соответствующих указанным критериям, при условии, что со дня заключения такого договора не истекло 3 года (положения настоящего абзаца применяются также в случаях, когда энергопринимающие устройства расположены (будут располагаться) на земельных участках, образованных путем разделения, выделения или перераспределения после подачи заявки и (или) заключения договора в отношении энергопринимающих устройств, расположенных (планируемых к расположению) на исходном земельном участке).</w:t>
      </w:r>
    </w:p>
    <w:p w:rsidR="00863803" w:rsidRDefault="00863803">
      <w:pPr>
        <w:pStyle w:val="ConsPlusNormal"/>
        <w:jc w:val="center"/>
      </w:pPr>
    </w:p>
    <w:p w:rsidR="00863803" w:rsidRDefault="00863803">
      <w:pPr>
        <w:pStyle w:val="ConsPlusNormal"/>
        <w:jc w:val="center"/>
      </w:pPr>
      <w:r>
        <w:t>_______________"</w:t>
      </w:r>
    </w:p>
    <w:p w:rsidR="00863803" w:rsidRDefault="00863803">
      <w:pPr>
        <w:pStyle w:val="ConsPlusNormal"/>
        <w:jc w:val="center"/>
      </w:pPr>
    </w:p>
    <w:p w:rsidR="00863803" w:rsidRDefault="00863803">
      <w:pPr>
        <w:pStyle w:val="ConsPlusNormal"/>
        <w:jc w:val="center"/>
      </w:pPr>
      <w:r>
        <w:t>_______________</w:t>
      </w:r>
    </w:p>
    <w:p w:rsidR="00863803" w:rsidRDefault="00863803">
      <w:pPr>
        <w:pStyle w:val="ConsPlusNormal"/>
        <w:jc w:val="both"/>
      </w:pPr>
    </w:p>
    <w:p w:rsidR="00863803" w:rsidRDefault="00863803">
      <w:pPr>
        <w:pStyle w:val="ConsPlusNormal"/>
        <w:jc w:val="both"/>
      </w:pPr>
    </w:p>
    <w:p w:rsidR="00863803" w:rsidRDefault="0086380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4D13" w:rsidRDefault="00094D13">
      <w:bookmarkStart w:id="1" w:name="_GoBack"/>
      <w:bookmarkEnd w:id="1"/>
    </w:p>
    <w:sectPr w:rsidR="00094D13" w:rsidSect="00E2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03"/>
    <w:rsid w:val="00094D13"/>
    <w:rsid w:val="0086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D8918-B3ED-4D90-9E86-98283A78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38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38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985&amp;dst=100017" TargetMode="External"/><Relationship Id="rId13" Type="http://schemas.openxmlformats.org/officeDocument/2006/relationships/hyperlink" Target="https://login.consultant.ru/link/?req=doc&amp;base=RLAW148&amp;n=220214&amp;dst=100563" TargetMode="External"/><Relationship Id="rId18" Type="http://schemas.openxmlformats.org/officeDocument/2006/relationships/hyperlink" Target="https://login.consultant.ru/link/?req=doc&amp;base=LAW&amp;n=493218&amp;dst=114" TargetMode="External"/><Relationship Id="rId26" Type="http://schemas.openxmlformats.org/officeDocument/2006/relationships/hyperlink" Target="https://login.consultant.ru/link/?req=doc&amp;base=LAW&amp;n=181977&amp;dst=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70690&amp;dst=19" TargetMode="External"/><Relationship Id="rId7" Type="http://schemas.openxmlformats.org/officeDocument/2006/relationships/hyperlink" Target="https://login.consultant.ru/link/?req=doc&amp;base=LAW&amp;n=492456&amp;dst=100776" TargetMode="External"/><Relationship Id="rId12" Type="http://schemas.openxmlformats.org/officeDocument/2006/relationships/hyperlink" Target="https://login.consultant.ru/link/?req=doc&amp;base=RLAW148&amp;n=220205&amp;dst=100135" TargetMode="External"/><Relationship Id="rId17" Type="http://schemas.openxmlformats.org/officeDocument/2006/relationships/hyperlink" Target="https://login.consultant.ru/link/?req=doc&amp;base=LAW&amp;n=493218&amp;dst=100537" TargetMode="External"/><Relationship Id="rId25" Type="http://schemas.openxmlformats.org/officeDocument/2006/relationships/hyperlink" Target="https://login.consultant.ru/link/?req=doc&amp;base=LAW&amp;n=181977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18&amp;dst=58" TargetMode="External"/><Relationship Id="rId20" Type="http://schemas.openxmlformats.org/officeDocument/2006/relationships/hyperlink" Target="https://login.consultant.ru/link/?req=doc&amp;base=LAW&amp;n=477506&amp;dst=271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" TargetMode="External"/><Relationship Id="rId11" Type="http://schemas.openxmlformats.org/officeDocument/2006/relationships/hyperlink" Target="https://login.consultant.ru/link/?req=doc&amp;base=RLAW148&amp;n=220205&amp;dst=100021" TargetMode="External"/><Relationship Id="rId24" Type="http://schemas.openxmlformats.org/officeDocument/2006/relationships/hyperlink" Target="https://login.consultant.ru/link/?req=doc&amp;base=LAW&amp;n=466512&amp;dst=100008" TargetMode="External"/><Relationship Id="rId5" Type="http://schemas.openxmlformats.org/officeDocument/2006/relationships/hyperlink" Target="https://login.consultant.ru/link/?req=doc&amp;base=LAW&amp;n=483148" TargetMode="External"/><Relationship Id="rId15" Type="http://schemas.openxmlformats.org/officeDocument/2006/relationships/hyperlink" Target="https://login.consultant.ru/link/?req=doc&amp;base=LAW&amp;n=493218&amp;dst=28" TargetMode="External"/><Relationship Id="rId23" Type="http://schemas.openxmlformats.org/officeDocument/2006/relationships/hyperlink" Target="https://login.consultant.ru/link/?req=doc&amp;base=LAW&amp;n=483140&amp;dst=105904" TargetMode="External"/><Relationship Id="rId28" Type="http://schemas.openxmlformats.org/officeDocument/2006/relationships/hyperlink" Target="https://login.consultant.ru/link/?req=doc&amp;base=LAW&amp;n=492456&amp;dst=100776" TargetMode="External"/><Relationship Id="rId10" Type="http://schemas.openxmlformats.org/officeDocument/2006/relationships/hyperlink" Target="https://login.consultant.ru/link/?req=doc&amp;base=RLAW148&amp;n=220205" TargetMode="External"/><Relationship Id="rId19" Type="http://schemas.openxmlformats.org/officeDocument/2006/relationships/hyperlink" Target="https://login.consultant.ru/link/?req=doc&amp;base=LAW&amp;n=477506&amp;dst=271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24574&amp;dst=100010" TargetMode="External"/><Relationship Id="rId14" Type="http://schemas.openxmlformats.org/officeDocument/2006/relationships/hyperlink" Target="https://login.consultant.ru/link/?req=doc&amp;base=LAW&amp;n=372860" TargetMode="External"/><Relationship Id="rId22" Type="http://schemas.openxmlformats.org/officeDocument/2006/relationships/hyperlink" Target="https://login.consultant.ru/link/?req=doc&amp;base=LAW&amp;n=466514&amp;dst=5" TargetMode="External"/><Relationship Id="rId27" Type="http://schemas.openxmlformats.org/officeDocument/2006/relationships/hyperlink" Target="https://login.consultant.ru/link/?req=doc&amp;base=LAW&amp;n=46771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2062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2025-01-13T02:48:00Z</dcterms:created>
  <dcterms:modified xsi:type="dcterms:W3CDTF">2025-01-13T02:49:00Z</dcterms:modified>
</cp:coreProperties>
</file>