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78" w:rsidRDefault="008D5C7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5C78" w:rsidRDefault="008D5C78">
      <w:pPr>
        <w:pStyle w:val="ConsPlusNormal"/>
        <w:jc w:val="both"/>
        <w:outlineLvl w:val="0"/>
      </w:pPr>
    </w:p>
    <w:p w:rsidR="008D5C78" w:rsidRDefault="008D5C78">
      <w:pPr>
        <w:pStyle w:val="ConsPlusTitle"/>
        <w:jc w:val="center"/>
        <w:outlineLvl w:val="0"/>
      </w:pPr>
      <w:r>
        <w:t>ДЕПАРТАМЕНТ ГОСУДАРСТВЕННОГО РЕГУЛИРОВАНИЯ ТАРИФОВ</w:t>
      </w:r>
    </w:p>
    <w:p w:rsidR="008D5C78" w:rsidRDefault="008D5C78">
      <w:pPr>
        <w:pStyle w:val="ConsPlusTitle"/>
        <w:jc w:val="center"/>
      </w:pPr>
      <w:r>
        <w:t>КРАСНОДАРСКОГО КРАЯ</w:t>
      </w:r>
    </w:p>
    <w:p w:rsidR="008D5C78" w:rsidRDefault="008D5C78">
      <w:pPr>
        <w:pStyle w:val="ConsPlusTitle"/>
        <w:jc w:val="both"/>
      </w:pPr>
    </w:p>
    <w:p w:rsidR="008D5C78" w:rsidRDefault="008D5C78">
      <w:pPr>
        <w:pStyle w:val="ConsPlusTitle"/>
        <w:jc w:val="center"/>
      </w:pPr>
      <w:r>
        <w:t>ПРИКАЗ</w:t>
      </w:r>
    </w:p>
    <w:p w:rsidR="008D5C78" w:rsidRDefault="008D5C78">
      <w:pPr>
        <w:pStyle w:val="ConsPlusTitle"/>
        <w:jc w:val="center"/>
      </w:pPr>
      <w:r>
        <w:t>от 25 ноября 2024 г. N 24/2024-э</w:t>
      </w:r>
    </w:p>
    <w:p w:rsidR="008D5C78" w:rsidRDefault="008D5C78">
      <w:pPr>
        <w:pStyle w:val="ConsPlusTitle"/>
        <w:jc w:val="both"/>
      </w:pPr>
    </w:p>
    <w:p w:rsidR="008D5C78" w:rsidRDefault="008D5C78">
      <w:pPr>
        <w:pStyle w:val="ConsPlusTitle"/>
        <w:jc w:val="center"/>
      </w:pPr>
      <w:r>
        <w:t>ОБ УСТАНОВЛЕНИИ</w:t>
      </w:r>
    </w:p>
    <w:p w:rsidR="008D5C78" w:rsidRDefault="008D5C78">
      <w:pPr>
        <w:pStyle w:val="ConsPlusTitle"/>
        <w:jc w:val="center"/>
      </w:pPr>
      <w:r>
        <w:t>ЦЕН (ТАРИФОВ) НА ЭЛЕКТРИЧЕСКУЮ ЭНЕРГИЮ</w:t>
      </w:r>
    </w:p>
    <w:p w:rsidR="008D5C78" w:rsidRDefault="008D5C78">
      <w:pPr>
        <w:pStyle w:val="ConsPlusTitle"/>
        <w:jc w:val="center"/>
      </w:pPr>
      <w:r>
        <w:t>ДЛЯ НАСЕЛЕНИЯ И ПРИРАВНЕННЫХ К НЕМУ КАТЕГОРИЙ</w:t>
      </w:r>
    </w:p>
    <w:p w:rsidR="008D5C78" w:rsidRDefault="008D5C78">
      <w:pPr>
        <w:pStyle w:val="ConsPlusTitle"/>
        <w:jc w:val="center"/>
      </w:pPr>
      <w:r>
        <w:t>ПОТРЕБИТЕЛЕЙ ПО КРАСНОДАРСКОМУ КРАЮ, РЕСПУБЛИКЕ АДЫГЕЯ</w:t>
      </w:r>
    </w:p>
    <w:p w:rsidR="008D5C78" w:rsidRDefault="008D5C78">
      <w:pPr>
        <w:pStyle w:val="ConsPlusTitle"/>
        <w:jc w:val="center"/>
      </w:pPr>
      <w:r>
        <w:t>И ФЕДЕРАЛЬНОЙ ТЕРРИТОРИИ "СИРИУС"</w:t>
      </w:r>
    </w:p>
    <w:p w:rsidR="008D5C78" w:rsidRDefault="008D5C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D5C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8" w:rsidRDefault="008D5C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8" w:rsidRDefault="008D5C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C78" w:rsidRDefault="008D5C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C78" w:rsidRDefault="008D5C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государственного регулирования тарифов</w:t>
            </w:r>
          </w:p>
          <w:p w:rsidR="008D5C78" w:rsidRDefault="008D5C7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25.12.2024 N 36/2024-э)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8" w:rsidRDefault="008D5C78">
            <w:pPr>
              <w:pStyle w:val="ConsPlusNormal"/>
            </w:pPr>
          </w:p>
        </w:tc>
      </w:tr>
    </w:tbl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8">
        <w:r>
          <w:rPr>
            <w:color w:val="0000FF"/>
          </w:rPr>
          <w:t>приказом</w:t>
        </w:r>
      </w:hyperlink>
      <w:r>
        <w:t xml:space="preserve"> ФАС России от 22.07.2024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на основании решения правления департамента государственного регулирования тарифов Краснодарского края приказываю:</w:t>
      </w:r>
    </w:p>
    <w:p w:rsidR="008D5C78" w:rsidRDefault="008D5C78">
      <w:pPr>
        <w:pStyle w:val="ConsPlusNormal"/>
        <w:spacing w:before="220"/>
        <w:ind w:firstLine="540"/>
        <w:jc w:val="both"/>
      </w:pPr>
      <w:r>
        <w:t xml:space="preserve">1. Установить с 1 января 2025 г. по 31 декабря 2025 г. </w:t>
      </w:r>
      <w:hyperlink w:anchor="P37">
        <w:r>
          <w:rPr>
            <w:color w:val="0000FF"/>
          </w:rPr>
          <w:t>цены</w:t>
        </w:r>
      </w:hyperlink>
      <w:r>
        <w:t xml:space="preserve"> (тарифы) на электрическую энергию для населения и приравненным к нему категориям потребителей по Краснодарскому краю, Республике Адыгея и федеральной территории "Сириус" на 2025 год (приложение 1).</w:t>
      </w:r>
    </w:p>
    <w:p w:rsidR="008D5C78" w:rsidRDefault="008D5C78">
      <w:pPr>
        <w:pStyle w:val="ConsPlusNormal"/>
        <w:spacing w:before="220"/>
        <w:ind w:firstLine="540"/>
        <w:jc w:val="both"/>
      </w:pPr>
      <w:r>
        <w:t xml:space="preserve">2. Определить </w:t>
      </w:r>
      <w:hyperlink w:anchor="P793">
        <w:r>
          <w:rPr>
            <w:color w:val="0000FF"/>
          </w:rPr>
          <w:t>диапазоны</w:t>
        </w:r>
      </w:hyperlink>
      <w:r>
        <w:t xml:space="preserve"> объемов потребления электрической энергии населением и приравненными к нему категориями потребителей (приложение 2).</w:t>
      </w:r>
    </w:p>
    <w:p w:rsidR="008D5C78" w:rsidRDefault="008D5C78">
      <w:pPr>
        <w:pStyle w:val="ConsPlusNormal"/>
        <w:spacing w:before="220"/>
        <w:ind w:firstLine="540"/>
        <w:jc w:val="both"/>
      </w:pPr>
      <w:r>
        <w:t xml:space="preserve">3. Применить понижающие </w:t>
      </w:r>
      <w:hyperlink w:anchor="P1097">
        <w:r>
          <w:rPr>
            <w:color w:val="0000FF"/>
          </w:rPr>
          <w:t>коэффициенты</w:t>
        </w:r>
      </w:hyperlink>
      <w:r>
        <w:t xml:space="preserve"> при установлении цен (тарифов) на электрическую энергию (мощность) (приложение 3).</w:t>
      </w:r>
    </w:p>
    <w:p w:rsidR="008D5C78" w:rsidRDefault="008D5C7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департамента государственного регулирования тарифов Краснодарского края от 24.11.2023 N 27/2023-э "Об установлении цен (тарифов) на электрическую энергию для населения и приравненных к нему категорий потребителей по Краснодарскому краю, Республике Адыгея и федеральной территории "Сириус".</w:t>
      </w:r>
    </w:p>
    <w:p w:rsidR="008D5C78" w:rsidRDefault="008D5C78">
      <w:pPr>
        <w:pStyle w:val="ConsPlusNormal"/>
        <w:spacing w:before="220"/>
        <w:ind w:firstLine="540"/>
        <w:jc w:val="both"/>
      </w:pPr>
      <w:r>
        <w:t>5. Приказ вступает в силу с 1 января 2025 г.</w:t>
      </w: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</w:pPr>
      <w:r>
        <w:t>Руководитель</w:t>
      </w:r>
    </w:p>
    <w:p w:rsidR="008D5C78" w:rsidRDefault="008D5C78">
      <w:pPr>
        <w:pStyle w:val="ConsPlusNormal"/>
        <w:jc w:val="right"/>
      </w:pPr>
      <w:proofErr w:type="spellStart"/>
      <w:r>
        <w:t>С.Н.МИЛОВАНОВ</w:t>
      </w:r>
      <w:proofErr w:type="spellEnd"/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  <w:outlineLvl w:val="0"/>
      </w:pPr>
      <w:r>
        <w:t>Приложение 1</w:t>
      </w:r>
    </w:p>
    <w:p w:rsidR="008D5C78" w:rsidRDefault="008D5C78">
      <w:pPr>
        <w:pStyle w:val="ConsPlusNormal"/>
        <w:jc w:val="right"/>
      </w:pPr>
      <w:r>
        <w:t>к приказу</w:t>
      </w:r>
    </w:p>
    <w:p w:rsidR="008D5C78" w:rsidRDefault="008D5C78">
      <w:pPr>
        <w:pStyle w:val="ConsPlusNormal"/>
        <w:jc w:val="right"/>
      </w:pPr>
      <w:r>
        <w:lastRenderedPageBreak/>
        <w:t>департамента государственного</w:t>
      </w:r>
    </w:p>
    <w:p w:rsidR="008D5C78" w:rsidRDefault="008D5C78">
      <w:pPr>
        <w:pStyle w:val="ConsPlusNormal"/>
        <w:jc w:val="right"/>
      </w:pPr>
      <w:r>
        <w:t>регулирования тарифов</w:t>
      </w:r>
    </w:p>
    <w:p w:rsidR="008D5C78" w:rsidRDefault="008D5C78">
      <w:pPr>
        <w:pStyle w:val="ConsPlusNormal"/>
        <w:jc w:val="right"/>
      </w:pPr>
      <w:r>
        <w:t>Краснодарского края</w:t>
      </w:r>
    </w:p>
    <w:p w:rsidR="008D5C78" w:rsidRDefault="008D5C78">
      <w:pPr>
        <w:pStyle w:val="ConsPlusNormal"/>
        <w:jc w:val="right"/>
      </w:pPr>
      <w:r>
        <w:t>от 25 ноября 2024 г. N 24/2024-э</w:t>
      </w: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Title"/>
        <w:jc w:val="center"/>
      </w:pPr>
      <w:bookmarkStart w:id="0" w:name="P37"/>
      <w:bookmarkEnd w:id="0"/>
      <w:r>
        <w:t>ЦЕНЫ (ТАРИФЫ)</w:t>
      </w:r>
    </w:p>
    <w:p w:rsidR="008D5C78" w:rsidRDefault="008D5C78">
      <w:pPr>
        <w:pStyle w:val="ConsPlusTitle"/>
        <w:jc w:val="center"/>
      </w:pPr>
      <w:r>
        <w:t>НА ЭЛЕКТРИЧЕСКУЮ ЭНЕРГИЮ ДЛЯ НАСЕЛЕНИЯ</w:t>
      </w:r>
    </w:p>
    <w:p w:rsidR="008D5C78" w:rsidRDefault="008D5C78">
      <w:pPr>
        <w:pStyle w:val="ConsPlusTitle"/>
        <w:jc w:val="center"/>
      </w:pPr>
      <w:r>
        <w:t>И ПРИРАВНЕННЫМ К НЕМУ КАТЕГОРИЙ ПОТРЕБИТЕЛЕЙ</w:t>
      </w:r>
    </w:p>
    <w:p w:rsidR="008D5C78" w:rsidRDefault="008D5C78">
      <w:pPr>
        <w:pStyle w:val="ConsPlusTitle"/>
        <w:jc w:val="center"/>
      </w:pPr>
      <w:r>
        <w:t>ПО КРАСНОДАРСКОМУ КРАЮ, РЕСПУБЛИКЕ АДЫГЕЯ</w:t>
      </w:r>
    </w:p>
    <w:p w:rsidR="008D5C78" w:rsidRDefault="008D5C78">
      <w:pPr>
        <w:pStyle w:val="ConsPlusTitle"/>
        <w:jc w:val="center"/>
      </w:pPr>
      <w:r>
        <w:t>И ФЕДЕРАЛЬНОЙ ТЕРРИТОРИИ "СИРИУС"</w:t>
      </w: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sectPr w:rsidR="008D5C78" w:rsidSect="005A49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7126"/>
        <w:gridCol w:w="1130"/>
        <w:gridCol w:w="1123"/>
        <w:gridCol w:w="1134"/>
        <w:gridCol w:w="1134"/>
        <w:gridCol w:w="1127"/>
        <w:gridCol w:w="1087"/>
        <w:gridCol w:w="10"/>
      </w:tblGrid>
      <w:tr w:rsidR="008D5C78" w:rsidTr="008D5C78">
        <w:trPr>
          <w:gridAfter w:val="1"/>
          <w:wAfter w:w="10" w:type="dxa"/>
        </w:trPr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712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6735" w:type="dxa"/>
            <w:gridSpan w:val="6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Цена (тариф), руб./кВт-ч (с учетом налога на добавленную стоимость)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3387" w:type="dxa"/>
            <w:gridSpan w:val="3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348" w:type="dxa"/>
            <w:gridSpan w:val="3"/>
            <w:vAlign w:val="center"/>
          </w:tcPr>
          <w:p w:rsidR="008D5C78" w:rsidRDefault="008D5C7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 '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lastRenderedPageBreak/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>
              <w:lastRenderedPageBreak/>
              <w:t>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5,78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7,86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5,79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7,87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4,57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6,65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2,76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2,77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3,99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3,11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4,23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</w:t>
            </w:r>
            <w:r>
              <w:lastRenderedPageBreak/>
              <w:t xml:space="preserve">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9.1.1.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9.2.2.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9.2.3.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9.3.1.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9.3.2.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9.3.3.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9.4.1.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9.4.2.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9.5.1.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9.5.2.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9.5.3.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D5C78" w:rsidRDefault="008D5C78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9.6.1.</w:t>
            </w: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c>
          <w:tcPr>
            <w:tcW w:w="66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9,6.2.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двум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Дневная зона (пиковая и полупиковая)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10,66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16,43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  <w:tr w:rsidR="008D5C78" w:rsidTr="008D5C78">
        <w:tc>
          <w:tcPr>
            <w:tcW w:w="666" w:type="dxa"/>
            <w:vMerge w:val="restart"/>
          </w:tcPr>
          <w:p w:rsidR="008D5C78" w:rsidRDefault="008D5C78">
            <w:pPr>
              <w:pStyle w:val="ConsPlusNormal"/>
              <w:jc w:val="center"/>
            </w:pPr>
            <w:r>
              <w:t>9.6.3.</w:t>
            </w:r>
          </w:p>
        </w:tc>
        <w:tc>
          <w:tcPr>
            <w:tcW w:w="13871" w:type="dxa"/>
            <w:gridSpan w:val="8"/>
            <w:vAlign w:val="center"/>
          </w:tcPr>
          <w:p w:rsidR="008D5C78" w:rsidRDefault="008D5C78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тариф, дифференцированный по трем зонам суток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7,34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8,26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11,24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16,44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Полупиковая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7,35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14,64</w:t>
            </w:r>
          </w:p>
        </w:tc>
      </w:tr>
      <w:tr w:rsidR="008D5C78" w:rsidTr="008D5C78">
        <w:trPr>
          <w:gridAfter w:val="1"/>
          <w:wAfter w:w="10" w:type="dxa"/>
        </w:trPr>
        <w:tc>
          <w:tcPr>
            <w:tcW w:w="66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712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Ночная зона</w:t>
            </w:r>
          </w:p>
        </w:tc>
        <w:tc>
          <w:tcPr>
            <w:tcW w:w="113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3,93</w:t>
            </w:r>
          </w:p>
        </w:tc>
        <w:tc>
          <w:tcPr>
            <w:tcW w:w="1123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3,94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13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4,42</w:t>
            </w:r>
          </w:p>
        </w:tc>
        <w:tc>
          <w:tcPr>
            <w:tcW w:w="112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0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8,78</w:t>
            </w:r>
          </w:p>
        </w:tc>
      </w:tr>
    </w:tbl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</w:pPr>
      <w:r>
        <w:t>Начальник отдела цен</w:t>
      </w:r>
    </w:p>
    <w:p w:rsidR="008D5C78" w:rsidRDefault="008D5C78">
      <w:pPr>
        <w:pStyle w:val="ConsPlusNormal"/>
        <w:jc w:val="right"/>
      </w:pPr>
      <w:r>
        <w:t>и тарифов на электроэнергию</w:t>
      </w:r>
    </w:p>
    <w:p w:rsidR="008D5C78" w:rsidRDefault="008D5C78">
      <w:pPr>
        <w:pStyle w:val="ConsPlusNormal"/>
        <w:jc w:val="right"/>
      </w:pPr>
      <w:proofErr w:type="spellStart"/>
      <w:r>
        <w:t>Ю.В.НЕЧЕСОВ</w:t>
      </w:r>
      <w:proofErr w:type="spellEnd"/>
    </w:p>
    <w:p w:rsidR="008D5C78" w:rsidRDefault="008D5C78">
      <w:pPr>
        <w:pStyle w:val="ConsPlusNormal"/>
        <w:sectPr w:rsidR="008D5C78" w:rsidSect="008D5C78"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  <w:outlineLvl w:val="0"/>
      </w:pPr>
      <w:r>
        <w:t>Приложение 2</w:t>
      </w:r>
    </w:p>
    <w:p w:rsidR="008D5C78" w:rsidRDefault="008D5C78">
      <w:pPr>
        <w:pStyle w:val="ConsPlusNormal"/>
        <w:jc w:val="right"/>
      </w:pPr>
      <w:r>
        <w:t>к приказу</w:t>
      </w:r>
    </w:p>
    <w:p w:rsidR="008D5C78" w:rsidRDefault="008D5C78">
      <w:pPr>
        <w:pStyle w:val="ConsPlusNormal"/>
        <w:jc w:val="right"/>
      </w:pPr>
      <w:r>
        <w:t>департамента государственного</w:t>
      </w:r>
    </w:p>
    <w:p w:rsidR="008D5C78" w:rsidRDefault="008D5C78">
      <w:pPr>
        <w:pStyle w:val="ConsPlusNormal"/>
        <w:jc w:val="right"/>
      </w:pPr>
      <w:r>
        <w:t>регулирования тарифов</w:t>
      </w:r>
    </w:p>
    <w:p w:rsidR="008D5C78" w:rsidRDefault="008D5C78">
      <w:pPr>
        <w:pStyle w:val="ConsPlusNormal"/>
        <w:jc w:val="right"/>
      </w:pPr>
      <w:r>
        <w:t>Краснодарского края</w:t>
      </w:r>
    </w:p>
    <w:p w:rsidR="008D5C78" w:rsidRDefault="008D5C78">
      <w:pPr>
        <w:pStyle w:val="ConsPlusNormal"/>
        <w:jc w:val="right"/>
      </w:pPr>
      <w:r>
        <w:t>от 25 ноября 2024 г. N 24/2024-э</w:t>
      </w: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Title"/>
        <w:jc w:val="center"/>
      </w:pPr>
      <w:bookmarkStart w:id="1" w:name="P793"/>
      <w:bookmarkEnd w:id="1"/>
      <w:r>
        <w:t>ДИАПАЗОНЫ</w:t>
      </w:r>
    </w:p>
    <w:p w:rsidR="008D5C78" w:rsidRDefault="008D5C78">
      <w:pPr>
        <w:pStyle w:val="ConsPlusTitle"/>
        <w:jc w:val="center"/>
      </w:pPr>
      <w:r>
        <w:t>ОБЪЕМОВ ПОТРЕБЛЕНИЯ ЭЛЕКТРИЧЕСКОЙ ЭНЕРГИИ</w:t>
      </w:r>
    </w:p>
    <w:p w:rsidR="008D5C78" w:rsidRDefault="008D5C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D5C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8" w:rsidRDefault="008D5C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8" w:rsidRDefault="008D5C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5C78" w:rsidRDefault="008D5C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5C78" w:rsidRDefault="008D5C7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государственного регулирования тарифов</w:t>
            </w:r>
          </w:p>
          <w:p w:rsidR="008D5C78" w:rsidRDefault="008D5C78">
            <w:pPr>
              <w:pStyle w:val="ConsPlusNormal"/>
              <w:jc w:val="center"/>
            </w:pPr>
            <w:r>
              <w:rPr>
                <w:color w:val="392C69"/>
              </w:rPr>
              <w:t>Краснодарского края от 25.12.2024 N 36/2024-э)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5C78" w:rsidRDefault="008D5C78">
            <w:pPr>
              <w:pStyle w:val="ConsPlusNormal"/>
            </w:pPr>
          </w:p>
        </w:tc>
      </w:tr>
    </w:tbl>
    <w:p w:rsidR="008D5C78" w:rsidRDefault="008D5C78">
      <w:pPr>
        <w:pStyle w:val="ConsPlusNormal"/>
        <w:jc w:val="both"/>
      </w:pPr>
    </w:p>
    <w:tbl>
      <w:tblPr>
        <w:tblW w:w="99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4561"/>
        <w:gridCol w:w="1587"/>
        <w:gridCol w:w="1701"/>
        <w:gridCol w:w="1422"/>
        <w:gridCol w:w="11"/>
      </w:tblGrid>
      <w:tr w:rsidR="008D5C78" w:rsidTr="008D5C78">
        <w:trPr>
          <w:gridAfter w:val="1"/>
          <w:wAfter w:w="11" w:type="dxa"/>
        </w:trPr>
        <w:tc>
          <w:tcPr>
            <w:tcW w:w="68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кВт-ч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кВт-ч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кВт-ч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</w:tcPr>
          <w:p w:rsidR="008D5C78" w:rsidRDefault="008D5C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иных случаях: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</w:pP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домах, расположенных за границами населенных пунктов, не оборудованных стационарными электроплитами и не оборудованных электроотопительными установками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домах, расположенных за границами населенных пунктов, оборудованных стационарными электроплитами и не оборудованных электроотопительными установками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1200 до 1850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1850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домах, расположенных за границами населенных пунктов, оборудованных стационарными электроплитами и электроотопительными установками,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домах, расположенных за границами населенных пунктов, оборудованных стационарными электроплитами и электроотопительными установками,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1200 до 1850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1850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домах, расположенных за границами населенных пунктов, оборудованных </w:t>
            </w:r>
            <w:r>
              <w:lastRenderedPageBreak/>
              <w:t>электроотопительными установками и не оборудованных стационарными электроплитами,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домах, расположенных за границами населенных пунктов, оборудованных электроотопительными установками и не оборудованных стационарными электроплитами,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</w:tcPr>
          <w:p w:rsidR="008D5C78" w:rsidRDefault="008D5C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</w:t>
            </w:r>
            <w:r>
              <w:lastRenderedPageBreak/>
              <w:t>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1200 до 1850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1850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</w:tcPr>
          <w:p w:rsidR="008D5C78" w:rsidRDefault="008D5C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</w:t>
            </w:r>
            <w:r>
              <w:lastRenderedPageBreak/>
              <w:t>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 xml:space="preserve">без </w:t>
            </w:r>
            <w:r>
              <w:lastRenderedPageBreak/>
              <w:t>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1200 до 1850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1850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</w:tcPr>
          <w:p w:rsidR="008D5C78" w:rsidRDefault="008D5C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</w:t>
            </w:r>
            <w:r>
              <w:lastRenderedPageBreak/>
              <w:t xml:space="preserve">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 xml:space="preserve">без ограничения пороговым </w:t>
            </w:r>
            <w:r>
              <w:lastRenderedPageBreak/>
              <w:t>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lastRenderedPageBreak/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1200 до 1850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1850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</w:tcPr>
          <w:p w:rsidR="008D5C78" w:rsidRDefault="008D5C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lastRenderedPageBreak/>
              <w:t>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1200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1200 до 1850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1850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>
              <w:lastRenderedPageBreak/>
              <w:t>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 октября по 30 апреля)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6000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 мая по 30 сентября)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</w:t>
            </w:r>
            <w:r>
              <w:lastRenderedPageBreak/>
              <w:t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семей", а также участников специальной военной операции и членов их семей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-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684" w:type="dxa"/>
            <w:vMerge/>
            <w:tcBorders>
              <w:bottom w:val="nil"/>
            </w:tcBorders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blPrEx>
          <w:tblBorders>
            <w:insideH w:val="nil"/>
          </w:tblBorders>
        </w:tblPrEx>
        <w:tc>
          <w:tcPr>
            <w:tcW w:w="9966" w:type="dxa"/>
            <w:gridSpan w:val="6"/>
            <w:tcBorders>
              <w:top w:val="nil"/>
            </w:tcBorders>
          </w:tcPr>
          <w:p w:rsidR="008D5C78" w:rsidRDefault="008D5C7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Департамента государственного регулирования тарифов Краснодарского края от 25.12.2024 N 36/2024-э)</w:t>
            </w:r>
          </w:p>
        </w:tc>
      </w:tr>
      <w:tr w:rsidR="008D5C78" w:rsidTr="008D5C78">
        <w:tc>
          <w:tcPr>
            <w:tcW w:w="684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8D5C78" w:rsidTr="008D5C78">
        <w:tc>
          <w:tcPr>
            <w:tcW w:w="684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</w:t>
            </w:r>
            <w:r>
              <w:lastRenderedPageBreak/>
              <w:t>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c>
          <w:tcPr>
            <w:tcW w:w="684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1100 до 1700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1700</w:t>
            </w:r>
          </w:p>
        </w:tc>
      </w:tr>
      <w:tr w:rsidR="008D5C78" w:rsidTr="008D5C78">
        <w:tc>
          <w:tcPr>
            <w:tcW w:w="684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c>
          <w:tcPr>
            <w:tcW w:w="684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c>
          <w:tcPr>
            <w:tcW w:w="684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1000 до 1550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1550</w:t>
            </w:r>
          </w:p>
        </w:tc>
      </w:tr>
      <w:tr w:rsidR="008D5C78" w:rsidTr="008D5C78">
        <w:tc>
          <w:tcPr>
            <w:tcW w:w="684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9282" w:type="dxa"/>
            <w:gridSpan w:val="5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8D5C78" w:rsidRDefault="008D5C78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8D5C78" w:rsidTr="008D5C78">
        <w:trPr>
          <w:gridAfter w:val="1"/>
          <w:wAfter w:w="11" w:type="dxa"/>
        </w:trPr>
        <w:tc>
          <w:tcPr>
            <w:tcW w:w="684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4561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58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до 100 включительно</w:t>
            </w:r>
          </w:p>
        </w:tc>
        <w:tc>
          <w:tcPr>
            <w:tcW w:w="170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от 100 до 155 включительно</w:t>
            </w:r>
          </w:p>
        </w:tc>
        <w:tc>
          <w:tcPr>
            <w:tcW w:w="1422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свыше 155</w:t>
            </w:r>
          </w:p>
        </w:tc>
      </w:tr>
    </w:tbl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</w:pPr>
      <w:r>
        <w:t>Начальник отдела цен</w:t>
      </w:r>
    </w:p>
    <w:p w:rsidR="008D5C78" w:rsidRDefault="008D5C78">
      <w:pPr>
        <w:pStyle w:val="ConsPlusNormal"/>
        <w:jc w:val="right"/>
      </w:pPr>
      <w:r>
        <w:t>и тарифов на электроэнергию</w:t>
      </w:r>
    </w:p>
    <w:p w:rsidR="008D5C78" w:rsidRDefault="008D5C78">
      <w:pPr>
        <w:pStyle w:val="ConsPlusNormal"/>
        <w:jc w:val="right"/>
      </w:pPr>
      <w:proofErr w:type="spellStart"/>
      <w:r>
        <w:t>Ю.В.НЕЧЕСОВ</w:t>
      </w:r>
      <w:proofErr w:type="spellEnd"/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  <w:outlineLvl w:val="0"/>
      </w:pPr>
      <w:r>
        <w:t>Приложение 3</w:t>
      </w:r>
    </w:p>
    <w:p w:rsidR="008D5C78" w:rsidRDefault="008D5C78">
      <w:pPr>
        <w:pStyle w:val="ConsPlusNormal"/>
        <w:jc w:val="right"/>
      </w:pPr>
      <w:r>
        <w:t>к приказу</w:t>
      </w:r>
    </w:p>
    <w:p w:rsidR="008D5C78" w:rsidRDefault="008D5C78">
      <w:pPr>
        <w:pStyle w:val="ConsPlusNormal"/>
        <w:jc w:val="right"/>
      </w:pPr>
      <w:r>
        <w:t>департамента государственного</w:t>
      </w:r>
    </w:p>
    <w:p w:rsidR="008D5C78" w:rsidRDefault="008D5C78">
      <w:pPr>
        <w:pStyle w:val="ConsPlusNormal"/>
        <w:jc w:val="right"/>
      </w:pPr>
      <w:r>
        <w:t>регулирования тарифов</w:t>
      </w:r>
    </w:p>
    <w:p w:rsidR="008D5C78" w:rsidRDefault="008D5C78">
      <w:pPr>
        <w:pStyle w:val="ConsPlusNormal"/>
        <w:jc w:val="right"/>
      </w:pPr>
      <w:r>
        <w:t>Краснодарского края</w:t>
      </w:r>
    </w:p>
    <w:p w:rsidR="008D5C78" w:rsidRDefault="008D5C78">
      <w:pPr>
        <w:pStyle w:val="ConsPlusNormal"/>
        <w:jc w:val="right"/>
      </w:pPr>
      <w:r>
        <w:t>от 25 ноября 2024 г. N 24/2024-э</w:t>
      </w: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Title"/>
        <w:jc w:val="center"/>
      </w:pPr>
      <w:bookmarkStart w:id="2" w:name="P1097"/>
      <w:bookmarkEnd w:id="2"/>
      <w:r>
        <w:t>ПОНИЖАЮЩИЕ КОЭФФИЦИЕНТЫ</w:t>
      </w:r>
    </w:p>
    <w:p w:rsidR="008D5C78" w:rsidRDefault="008D5C78">
      <w:pPr>
        <w:pStyle w:val="ConsPlusTitle"/>
        <w:jc w:val="center"/>
      </w:pPr>
      <w:r>
        <w:t>ПРИ УСТАНОВЛЕНИИ ЦЕН (ТАРИФОВ) НА ЭЛЕКТРИЧЕСКУЮ</w:t>
      </w:r>
    </w:p>
    <w:p w:rsidR="008D5C78" w:rsidRDefault="008D5C78">
      <w:pPr>
        <w:pStyle w:val="ConsPlusTitle"/>
        <w:jc w:val="center"/>
      </w:pPr>
      <w:r>
        <w:t>ЭНЕРГИЮ (МОЩНОСТЬ)</w:t>
      </w: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sectPr w:rsidR="008D5C7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6"/>
        <w:gridCol w:w="6986"/>
        <w:gridCol w:w="1191"/>
        <w:gridCol w:w="1260"/>
        <w:gridCol w:w="1191"/>
        <w:gridCol w:w="1260"/>
        <w:gridCol w:w="1191"/>
        <w:gridCol w:w="1267"/>
      </w:tblGrid>
      <w:tr w:rsidR="008D5C78" w:rsidTr="008D5C78">
        <w:tc>
          <w:tcPr>
            <w:tcW w:w="80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6986" w:type="dxa"/>
            <w:vMerge w:val="restart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7360" w:type="dxa"/>
            <w:gridSpan w:val="6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8D5C78" w:rsidTr="008D5C78">
        <w:tc>
          <w:tcPr>
            <w:tcW w:w="80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698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2451" w:type="dxa"/>
            <w:gridSpan w:val="2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Первый диапазон объемов потребления электрической энергии</w:t>
            </w:r>
          </w:p>
        </w:tc>
        <w:tc>
          <w:tcPr>
            <w:tcW w:w="2451" w:type="dxa"/>
            <w:gridSpan w:val="2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Второй диапазон объемов потребления электрической энергии</w:t>
            </w:r>
          </w:p>
        </w:tc>
        <w:tc>
          <w:tcPr>
            <w:tcW w:w="2458" w:type="dxa"/>
            <w:gridSpan w:val="2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Третий диапазон объемов потребления электрической энергии</w:t>
            </w:r>
          </w:p>
        </w:tc>
      </w:tr>
      <w:tr w:rsidR="008D5C78" w:rsidTr="008D5C78">
        <w:tc>
          <w:tcPr>
            <w:tcW w:w="80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6986" w:type="dxa"/>
            <w:vMerge/>
          </w:tcPr>
          <w:p w:rsidR="008D5C78" w:rsidRDefault="008D5C7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lastRenderedPageBreak/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</w:t>
            </w:r>
            <w:bookmarkStart w:id="3" w:name="_GoBack"/>
            <w:bookmarkEnd w:id="3"/>
            <w:r>
              <w:t>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</w:t>
            </w:r>
            <w:r>
              <w:lastRenderedPageBreak/>
              <w:t>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>
              <w:lastRenderedPageBreak/>
              <w:t>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4 - 6:</w:t>
            </w:r>
          </w:p>
          <w:p w:rsidR="008D5C78" w:rsidRDefault="008D5C78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D5C78" w:rsidRDefault="008D5C78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</w:t>
            </w:r>
            <w:r>
              <w:lastRenderedPageBreak/>
              <w:t>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5C78" w:rsidRDefault="008D5C78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</w:pP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</w:pP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  <w:tr w:rsidR="008D5C78" w:rsidTr="008D5C78">
        <w:tc>
          <w:tcPr>
            <w:tcW w:w="806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986" w:type="dxa"/>
            <w:vAlign w:val="center"/>
          </w:tcPr>
          <w:p w:rsidR="008D5C78" w:rsidRDefault="008D5C78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0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1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7" w:type="dxa"/>
            <w:vAlign w:val="center"/>
          </w:tcPr>
          <w:p w:rsidR="008D5C78" w:rsidRDefault="008D5C78">
            <w:pPr>
              <w:pStyle w:val="ConsPlusNormal"/>
              <w:jc w:val="center"/>
            </w:pPr>
            <w:r>
              <w:t>1,0</w:t>
            </w:r>
          </w:p>
        </w:tc>
      </w:tr>
    </w:tbl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right"/>
      </w:pPr>
      <w:r>
        <w:t>Начальник отдела цен</w:t>
      </w:r>
    </w:p>
    <w:p w:rsidR="008D5C78" w:rsidRDefault="008D5C78">
      <w:pPr>
        <w:pStyle w:val="ConsPlusNormal"/>
        <w:jc w:val="right"/>
      </w:pPr>
      <w:r>
        <w:t>и тарифов на электроэнергию</w:t>
      </w:r>
    </w:p>
    <w:p w:rsidR="008D5C78" w:rsidRDefault="008D5C78">
      <w:pPr>
        <w:pStyle w:val="ConsPlusNormal"/>
        <w:jc w:val="right"/>
      </w:pPr>
      <w:proofErr w:type="spellStart"/>
      <w:r>
        <w:t>Ю.В.НЕЧЕСОВ</w:t>
      </w:r>
      <w:proofErr w:type="spellEnd"/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jc w:val="both"/>
      </w:pPr>
    </w:p>
    <w:p w:rsidR="008D5C78" w:rsidRDefault="008D5C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8"/>
    <w:rsid w:val="0028511B"/>
    <w:rsid w:val="006F6DF0"/>
    <w:rsid w:val="008D5C78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58BD5-0D2E-4DD5-8653-D62865B6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C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5C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5C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D5C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D5C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D5C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D5C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D5C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hyperlink" Target="https://login.consultant.ru/link/?req=doc&amp;base=RLAW177&amp;n=258288&amp;dst=100005" TargetMode="External"/><Relationship Id="rId26" Type="http://schemas.openxmlformats.org/officeDocument/2006/relationships/hyperlink" Target="https://login.consultant.ru/link/?req=doc&amp;base=RLAW177&amp;n=258288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710&amp;dst=100037" TargetMode="External"/><Relationship Id="rId7" Type="http://schemas.openxmlformats.org/officeDocument/2006/relationships/hyperlink" Target="https://login.consultant.ru/link/?req=doc&amp;base=LAW&amp;n=479553&amp;dst=101759" TargetMode="External"/><Relationship Id="rId12" Type="http://schemas.openxmlformats.org/officeDocument/2006/relationships/hyperlink" Target="https://login.consultant.ru/link/?req=doc&amp;base=RLAW177&amp;n=258288&amp;dst=100005" TargetMode="External"/><Relationship Id="rId17" Type="http://schemas.openxmlformats.org/officeDocument/2006/relationships/hyperlink" Target="https://login.consultant.ru/link/?req=doc&amp;base=LAW&amp;n=467710&amp;dst=100037" TargetMode="External"/><Relationship Id="rId25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77&amp;n=258288&amp;dst=100005" TargetMode="External"/><Relationship Id="rId20" Type="http://schemas.openxmlformats.org/officeDocument/2006/relationships/hyperlink" Target="https://login.consultant.ru/link/?req=doc&amp;base=RLAW177&amp;n=25828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41&amp;dst=101265" TargetMode="External"/><Relationship Id="rId11" Type="http://schemas.openxmlformats.org/officeDocument/2006/relationships/hyperlink" Target="https://login.consultant.ru/link/?req=doc&amp;base=LAW&amp;n=467710&amp;dst=100037" TargetMode="External"/><Relationship Id="rId24" Type="http://schemas.openxmlformats.org/officeDocument/2006/relationships/hyperlink" Target="https://login.consultant.ru/link/?req=doc&amp;base=RLAW177&amp;n=258288&amp;dst=100005" TargetMode="External"/><Relationship Id="rId5" Type="http://schemas.openxmlformats.org/officeDocument/2006/relationships/hyperlink" Target="https://login.consultant.ru/link/?req=doc&amp;base=RLAW177&amp;n=258288&amp;dst=100005" TargetMode="External"/><Relationship Id="rId15" Type="http://schemas.openxmlformats.org/officeDocument/2006/relationships/hyperlink" Target="https://login.consultant.ru/link/?req=doc&amp;base=LAW&amp;n=467710&amp;dst=100037" TargetMode="External"/><Relationship Id="rId23" Type="http://schemas.openxmlformats.org/officeDocument/2006/relationships/hyperlink" Target="https://login.consultant.ru/link/?req=doc&amp;base=LAW&amp;n=467710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77&amp;n=258288&amp;dst=100005" TargetMode="External"/><Relationship Id="rId19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77&amp;n=241886" TargetMode="External"/><Relationship Id="rId14" Type="http://schemas.openxmlformats.org/officeDocument/2006/relationships/hyperlink" Target="https://login.consultant.ru/link/?req=doc&amp;base=RLAW177&amp;n=258288&amp;dst=100005" TargetMode="External"/><Relationship Id="rId22" Type="http://schemas.openxmlformats.org/officeDocument/2006/relationships/hyperlink" Target="https://login.consultant.ru/link/?req=doc&amp;base=RLAW177&amp;n=258288&amp;dst=1000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10310</Words>
  <Characters>58771</Characters>
  <Application>Microsoft Office Word</Application>
  <DocSecurity>0</DocSecurity>
  <Lines>489</Lines>
  <Paragraphs>137</Paragraphs>
  <ScaleCrop>false</ScaleCrop>
  <Company/>
  <LinksUpToDate>false</LinksUpToDate>
  <CharactersWithSpaces>68944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2025-01-23T15:54:00Z</dcterms:created>
  <dcterms:modified xsi:type="dcterms:W3CDTF">2025-01-23T15:55:00Z</dcterms:modified>
</cp:coreProperties>
</file>