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D0" w:rsidRDefault="000069D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69D0" w:rsidRDefault="000069D0">
      <w:pPr>
        <w:pStyle w:val="ConsPlusNormal"/>
        <w:ind w:firstLine="540"/>
        <w:jc w:val="both"/>
        <w:outlineLvl w:val="0"/>
      </w:pPr>
    </w:p>
    <w:p w:rsidR="000069D0" w:rsidRDefault="000069D0">
      <w:pPr>
        <w:pStyle w:val="ConsPlusNormal"/>
        <w:outlineLvl w:val="0"/>
      </w:pPr>
      <w:r>
        <w:t>Зарегистрировано в Главном правовом управлении Администрации Губернатора и Правительства Орловской области 3 декабря 2024 г. N 648/2024</w:t>
      </w:r>
    </w:p>
    <w:p w:rsidR="000069D0" w:rsidRDefault="000069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Title"/>
        <w:jc w:val="center"/>
      </w:pPr>
      <w:r>
        <w:t>ДЕПАРТАМЕНТ ГОСУДАРСТВЕННОГО РЕГУЛИРОВАНИЯ ЦЕН И ТАРИФОВ</w:t>
      </w:r>
    </w:p>
    <w:p w:rsidR="000069D0" w:rsidRDefault="000069D0">
      <w:pPr>
        <w:pStyle w:val="ConsPlusTitle"/>
        <w:jc w:val="center"/>
      </w:pPr>
      <w:r>
        <w:t>ОРЛОВСКОЙ ОБЛАСТИ</w:t>
      </w:r>
    </w:p>
    <w:p w:rsidR="000069D0" w:rsidRDefault="000069D0">
      <w:pPr>
        <w:pStyle w:val="ConsPlusTitle"/>
        <w:jc w:val="center"/>
      </w:pPr>
    </w:p>
    <w:p w:rsidR="000069D0" w:rsidRDefault="000069D0">
      <w:pPr>
        <w:pStyle w:val="ConsPlusTitle"/>
        <w:jc w:val="center"/>
      </w:pPr>
      <w:r>
        <w:t>ПРИКАЗ</w:t>
      </w:r>
    </w:p>
    <w:p w:rsidR="000069D0" w:rsidRDefault="000069D0">
      <w:pPr>
        <w:pStyle w:val="ConsPlusTitle"/>
        <w:jc w:val="center"/>
      </w:pPr>
      <w:r>
        <w:t>от 29 ноября 2024 г. N 361-Т</w:t>
      </w:r>
    </w:p>
    <w:p w:rsidR="000069D0" w:rsidRDefault="000069D0">
      <w:pPr>
        <w:pStyle w:val="ConsPlusTitle"/>
        <w:jc w:val="center"/>
      </w:pPr>
    </w:p>
    <w:p w:rsidR="000069D0" w:rsidRDefault="000069D0">
      <w:pPr>
        <w:pStyle w:val="ConsPlusTitle"/>
        <w:jc w:val="center"/>
      </w:pPr>
      <w:r>
        <w:t>ОБ УСТАНОВЛЕНИИ ЦЕН (ТАРИФОВ)</w:t>
      </w:r>
    </w:p>
    <w:p w:rsidR="000069D0" w:rsidRDefault="000069D0">
      <w:pPr>
        <w:pStyle w:val="ConsPlusTitle"/>
        <w:jc w:val="center"/>
      </w:pPr>
      <w:r>
        <w:t>НА ЭЛЕКТРИЧЕСКУЮ ЭНЕРГИЮ (МОЩНОСТЬ) ДЛЯ НАСЕЛЕНИЯ</w:t>
      </w:r>
    </w:p>
    <w:p w:rsidR="000069D0" w:rsidRDefault="000069D0">
      <w:pPr>
        <w:pStyle w:val="ConsPlusTitle"/>
        <w:jc w:val="center"/>
      </w:pPr>
      <w:r>
        <w:t>И ПРИРАВНЕННЫХ К НЕМУ КАТЕГОРИЙ ПОТРЕБИТЕЛЕЙ</w:t>
      </w:r>
    </w:p>
    <w:p w:rsidR="000069D0" w:rsidRDefault="000069D0">
      <w:pPr>
        <w:pStyle w:val="ConsPlusTitle"/>
        <w:jc w:val="center"/>
      </w:pPr>
      <w:r>
        <w:t>НА ТЕРРИТОРИИ ОРЛОВСКОЙ ОБЛАСТИ</w:t>
      </w:r>
    </w:p>
    <w:p w:rsidR="000069D0" w:rsidRDefault="000069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6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9D0" w:rsidRDefault="000069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9D0" w:rsidRDefault="000069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69D0" w:rsidRDefault="000069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69D0" w:rsidRDefault="000069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государственного регулирования цен и тарифов</w:t>
            </w:r>
          </w:p>
          <w:p w:rsidR="000069D0" w:rsidRDefault="000069D0">
            <w:pPr>
              <w:pStyle w:val="ConsPlusNormal"/>
              <w:jc w:val="center"/>
            </w:pPr>
            <w:r>
              <w:rPr>
                <w:color w:val="392C69"/>
              </w:rPr>
              <w:t>Орловской области от 15.01.2025 N 1-Т)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9D0" w:rsidRDefault="000069D0">
            <w:pPr>
              <w:pStyle w:val="ConsPlusNormal"/>
            </w:pPr>
          </w:p>
        </w:tc>
      </w:tr>
    </w:tbl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мая 2012 года N 442 "О функционировании розничных рынков электрической энергии, полном и (или) частичном ограничении режима потребления электрической энергии",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28 марта 2023 года N 254 "Об утверждении Положения о Департаменте государственного регулирования цен и тарифов Орловской области" приказываю:</w:t>
      </w: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  <w:r>
        <w:t xml:space="preserve">1. Установить с 1 января 2025 года по 31 декабря 2025 года цены (тарифы) на электрическую энергию (мощность) для населения и приравненных к нему категорий потребителей на территории Орловской области согласно </w:t>
      </w:r>
      <w:hyperlink w:anchor="P42">
        <w:r>
          <w:rPr>
            <w:color w:val="0000FF"/>
          </w:rPr>
          <w:t>приложению</w:t>
        </w:r>
      </w:hyperlink>
      <w:r>
        <w:t>.</w:t>
      </w:r>
    </w:p>
    <w:p w:rsidR="000069D0" w:rsidRDefault="000069D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приказ</w:t>
        </w:r>
      </w:hyperlink>
      <w:r>
        <w:t xml:space="preserve"> Департамента государственного регулирования цен и тарифов Орловской области от 30 ноября 2023 года N 185-Т "Об установлении цен (тарифов) на электрическую энергию (мощность) для населения и приравненных к нему категорий потребителей на территории Орловской области".</w:t>
      </w:r>
    </w:p>
    <w:p w:rsidR="000069D0" w:rsidRDefault="000069D0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2025 года.</w:t>
      </w:r>
    </w:p>
    <w:p w:rsidR="000069D0" w:rsidRDefault="000069D0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приказа возложить на заместителя руководителя Департамента государственного регулирования цен и тарифов Орловской области Сорокину </w:t>
      </w:r>
      <w:proofErr w:type="spellStart"/>
      <w:r>
        <w:t>И.В</w:t>
      </w:r>
      <w:proofErr w:type="spellEnd"/>
      <w:r>
        <w:t>.</w:t>
      </w: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jc w:val="right"/>
      </w:pPr>
      <w:r>
        <w:t>Руководитель</w:t>
      </w:r>
    </w:p>
    <w:p w:rsidR="000069D0" w:rsidRDefault="000069D0">
      <w:pPr>
        <w:pStyle w:val="ConsPlusNormal"/>
        <w:jc w:val="right"/>
      </w:pPr>
      <w:r>
        <w:t>Департамента государственного</w:t>
      </w:r>
    </w:p>
    <w:p w:rsidR="000069D0" w:rsidRDefault="000069D0">
      <w:pPr>
        <w:pStyle w:val="ConsPlusNormal"/>
        <w:jc w:val="right"/>
      </w:pPr>
      <w:r>
        <w:t>регулирования цен и тарифов</w:t>
      </w:r>
    </w:p>
    <w:p w:rsidR="000069D0" w:rsidRDefault="000069D0">
      <w:pPr>
        <w:pStyle w:val="ConsPlusNormal"/>
        <w:jc w:val="right"/>
      </w:pPr>
      <w:r>
        <w:t>Орловской области</w:t>
      </w:r>
    </w:p>
    <w:p w:rsidR="000069D0" w:rsidRDefault="000069D0">
      <w:pPr>
        <w:pStyle w:val="ConsPlusNormal"/>
        <w:jc w:val="right"/>
      </w:pPr>
      <w:proofErr w:type="spellStart"/>
      <w:r>
        <w:t>Е.Н.ЖУКОВА</w:t>
      </w:r>
      <w:proofErr w:type="spellEnd"/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jc w:val="right"/>
        <w:outlineLvl w:val="0"/>
      </w:pPr>
      <w:r>
        <w:t>Приложение</w:t>
      </w:r>
    </w:p>
    <w:p w:rsidR="000069D0" w:rsidRDefault="000069D0">
      <w:pPr>
        <w:pStyle w:val="ConsPlusNormal"/>
        <w:jc w:val="right"/>
      </w:pPr>
      <w:r>
        <w:t>к приказу</w:t>
      </w:r>
    </w:p>
    <w:p w:rsidR="000069D0" w:rsidRDefault="000069D0">
      <w:pPr>
        <w:pStyle w:val="ConsPlusNormal"/>
        <w:jc w:val="right"/>
      </w:pPr>
      <w:r>
        <w:t>Департамента государственного</w:t>
      </w:r>
    </w:p>
    <w:p w:rsidR="000069D0" w:rsidRDefault="000069D0">
      <w:pPr>
        <w:pStyle w:val="ConsPlusNormal"/>
        <w:jc w:val="right"/>
      </w:pPr>
      <w:r>
        <w:t>регулирования цен и тарифов</w:t>
      </w:r>
    </w:p>
    <w:p w:rsidR="000069D0" w:rsidRDefault="000069D0">
      <w:pPr>
        <w:pStyle w:val="ConsPlusNormal"/>
        <w:jc w:val="right"/>
      </w:pPr>
      <w:r>
        <w:t>Орловской области</w:t>
      </w:r>
    </w:p>
    <w:p w:rsidR="000069D0" w:rsidRDefault="000069D0">
      <w:pPr>
        <w:pStyle w:val="ConsPlusNormal"/>
        <w:jc w:val="right"/>
      </w:pPr>
      <w:r>
        <w:t>от 29 ноября 2024 г. N 361-Т</w:t>
      </w: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Title"/>
        <w:jc w:val="center"/>
      </w:pPr>
      <w:bookmarkStart w:id="0" w:name="P42"/>
      <w:bookmarkEnd w:id="0"/>
      <w:r>
        <w:t>ЦЕНЫ (ТАРИФЫ)</w:t>
      </w:r>
    </w:p>
    <w:p w:rsidR="000069D0" w:rsidRDefault="000069D0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0069D0" w:rsidRDefault="000069D0">
      <w:pPr>
        <w:pStyle w:val="ConsPlusTitle"/>
        <w:jc w:val="center"/>
      </w:pPr>
      <w:r>
        <w:t>КАТЕГОРИЙ ПОТРЕБИТЕЛЕЙ ПО ОРЛОВСКОЙ ОБЛАСТИ</w:t>
      </w:r>
    </w:p>
    <w:p w:rsidR="000069D0" w:rsidRDefault="000069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69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9D0" w:rsidRDefault="000069D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9D0" w:rsidRDefault="000069D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69D0" w:rsidRDefault="000069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69D0" w:rsidRDefault="000069D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государственного регулирования цен и тарифов</w:t>
            </w:r>
          </w:p>
          <w:p w:rsidR="000069D0" w:rsidRDefault="000069D0">
            <w:pPr>
              <w:pStyle w:val="ConsPlusNormal"/>
              <w:jc w:val="center"/>
            </w:pPr>
            <w:r>
              <w:rPr>
                <w:color w:val="392C69"/>
              </w:rPr>
              <w:t>Орловской области от 15.01.2025 N 1-Т)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69D0" w:rsidRDefault="000069D0">
            <w:pPr>
              <w:pStyle w:val="ConsPlusNormal"/>
            </w:pPr>
          </w:p>
        </w:tc>
      </w:tr>
    </w:tbl>
    <w:p w:rsidR="000069D0" w:rsidRDefault="000069D0">
      <w:pPr>
        <w:pStyle w:val="ConsPlusNormal"/>
        <w:ind w:firstLine="540"/>
        <w:jc w:val="both"/>
      </w:pPr>
    </w:p>
    <w:tbl>
      <w:tblPr>
        <w:tblW w:w="101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08"/>
        <w:gridCol w:w="964"/>
        <w:gridCol w:w="964"/>
        <w:gridCol w:w="964"/>
        <w:gridCol w:w="964"/>
        <w:gridCol w:w="8"/>
      </w:tblGrid>
      <w:tr w:rsidR="000069D0" w:rsidTr="000069D0">
        <w:trPr>
          <w:gridAfter w:val="1"/>
          <w:wAfter w:w="8" w:type="dxa"/>
        </w:trPr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08" w:type="dxa"/>
            <w:vMerge w:val="restart"/>
          </w:tcPr>
          <w:p w:rsidR="000069D0" w:rsidRDefault="000069D0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856" w:type="dxa"/>
            <w:gridSpan w:val="4"/>
          </w:tcPr>
          <w:p w:rsidR="000069D0" w:rsidRDefault="000069D0">
            <w:pPr>
              <w:pStyle w:val="ConsPlusNormal"/>
              <w:jc w:val="center"/>
            </w:pPr>
            <w:r>
              <w:t>Цена (тариф), руб./</w:t>
            </w:r>
            <w:proofErr w:type="spellStart"/>
            <w:r>
              <w:t>кВт·ч</w:t>
            </w:r>
            <w:proofErr w:type="spellEnd"/>
            <w:r>
              <w:t xml:space="preserve"> (с учетом налога на добавленную стоимость)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1928" w:type="dxa"/>
            <w:gridSpan w:val="2"/>
          </w:tcPr>
          <w:p w:rsidR="000069D0" w:rsidRDefault="000069D0">
            <w:pPr>
              <w:pStyle w:val="ConsPlusNormal"/>
              <w:jc w:val="center"/>
            </w:pPr>
            <w:r>
              <w:t>В пределах социальной нормы потребления электрической энергии (мощности)</w:t>
            </w:r>
          </w:p>
        </w:tc>
        <w:tc>
          <w:tcPr>
            <w:tcW w:w="1928" w:type="dxa"/>
            <w:gridSpan w:val="2"/>
          </w:tcPr>
          <w:p w:rsidR="000069D0" w:rsidRDefault="000069D0">
            <w:pPr>
              <w:pStyle w:val="ConsPlusNormal"/>
              <w:jc w:val="center"/>
            </w:pPr>
            <w:r>
              <w:t>Сверх социальной нормы потребления электрической энергии (мощности)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  <w:jc w:val="center"/>
            </w:pPr>
            <w:r>
              <w:t>6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1.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4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344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1.2.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1.3.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bookmarkStart w:id="1" w:name="P104"/>
            <w:bookmarkEnd w:id="1"/>
            <w:r>
              <w:t>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 </w:t>
            </w:r>
            <w:hyperlink w:anchor="P616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2.1.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2.2.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2.3.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</w:t>
            </w:r>
            <w:r>
              <w:lastRenderedPageBreak/>
              <w:t xml:space="preserve">и приравненные к нему категории потребителей </w:t>
            </w:r>
            <w:hyperlink w:anchor="P617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3.2.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3.3.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4.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 </w:t>
            </w:r>
            <w:hyperlink w:anchor="P618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</w:t>
            </w:r>
            <w:r>
              <w:lastRenderedPageBreak/>
              <w:t>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lastRenderedPageBreak/>
              <w:t>4.1.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4.2.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4.3.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bookmarkStart w:id="2" w:name="P224"/>
            <w:bookmarkEnd w:id="2"/>
            <w:r>
              <w:t>5.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 </w:t>
            </w:r>
            <w:hyperlink w:anchor="P619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5.1.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5.2.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5.3.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 </w:t>
            </w:r>
            <w:hyperlink w:anchor="P620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6.1.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6.2.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6.3.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bookmarkStart w:id="3" w:name="P304"/>
            <w:bookmarkEnd w:id="3"/>
            <w:r>
              <w:t>7.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 </w:t>
            </w:r>
            <w:hyperlink w:anchor="P62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>
              <w:lastRenderedPageBreak/>
              <w:t>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lastRenderedPageBreak/>
              <w:t>7.1.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7.2.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7.3.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0069D0" w:rsidRDefault="000069D0">
            <w:pPr>
              <w:pStyle w:val="ConsPlusNormal"/>
            </w:pPr>
            <w:bookmarkStart w:id="4" w:name="P344"/>
            <w:bookmarkEnd w:id="4"/>
            <w:r>
              <w:t>8.</w:t>
            </w:r>
          </w:p>
        </w:tc>
        <w:tc>
          <w:tcPr>
            <w:tcW w:w="9472" w:type="dxa"/>
            <w:gridSpan w:val="6"/>
            <w:tcBorders>
              <w:bottom w:val="nil"/>
            </w:tcBorders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24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04">
              <w:r>
                <w:rPr>
                  <w:color w:val="0000FF"/>
                </w:rPr>
                <w:t>7</w:t>
              </w:r>
            </w:hyperlink>
            <w:r>
              <w:t xml:space="preserve"> </w:t>
            </w:r>
            <w:hyperlink w:anchor="P622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0069D0" w:rsidTr="000069D0">
        <w:tblPrEx>
          <w:tblBorders>
            <w:insideH w:val="nil"/>
          </w:tblBorders>
        </w:tblPrEx>
        <w:tc>
          <w:tcPr>
            <w:tcW w:w="10101" w:type="dxa"/>
            <w:gridSpan w:val="7"/>
            <w:tcBorders>
              <w:top w:val="nil"/>
            </w:tcBorders>
          </w:tcPr>
          <w:p w:rsidR="000069D0" w:rsidRDefault="000069D0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цен и тарифов Орловской области от 15.01.2025 N 1-Т)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8.1.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8.2.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4,80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6,61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8.3.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4,39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6,92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5,76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2,56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2,92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3,53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4,03</w:t>
            </w:r>
          </w:p>
        </w:tc>
      </w:tr>
      <w:tr w:rsidR="000069D0" w:rsidTr="000069D0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0069D0" w:rsidRDefault="000069D0">
            <w:pPr>
              <w:pStyle w:val="ConsPlusNormal"/>
            </w:pPr>
            <w:r>
              <w:t>9.</w:t>
            </w:r>
          </w:p>
        </w:tc>
        <w:tc>
          <w:tcPr>
            <w:tcW w:w="9472" w:type="dxa"/>
            <w:gridSpan w:val="6"/>
            <w:tcBorders>
              <w:bottom w:val="nil"/>
            </w:tcBorders>
          </w:tcPr>
          <w:p w:rsidR="000069D0" w:rsidRDefault="000069D0">
            <w:pPr>
              <w:pStyle w:val="ConsPlusNormal"/>
            </w:pPr>
            <w:r>
              <w:t xml:space="preserve">Потребители, приравненные к населению </w:t>
            </w:r>
            <w:hyperlink w:anchor="P623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0069D0" w:rsidTr="000069D0">
        <w:tblPrEx>
          <w:tblBorders>
            <w:insideH w:val="nil"/>
          </w:tblBorders>
        </w:tblPrEx>
        <w:tc>
          <w:tcPr>
            <w:tcW w:w="10101" w:type="dxa"/>
            <w:gridSpan w:val="7"/>
            <w:tcBorders>
              <w:top w:val="nil"/>
            </w:tcBorders>
          </w:tcPr>
          <w:p w:rsidR="000069D0" w:rsidRDefault="000069D0">
            <w:pPr>
              <w:pStyle w:val="ConsPlusNormal"/>
              <w:jc w:val="both"/>
            </w:pPr>
            <w:r>
              <w:t xml:space="preserve">(п. 9 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цен и тарифов Орловской области от 15.01.2025 N 1-Т)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9.1.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9.1.1.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9.1.2.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9.1.3.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9.2.1.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lastRenderedPageBreak/>
              <w:t>9.2.2.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9.2.3.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  <w:bookmarkStart w:id="5" w:name="_GoBack"/>
            <w:bookmarkEnd w:id="5"/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9.3.1.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9.3.2.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9.3.3.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9.4.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9.4.1.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9.4.2.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9.4.3.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9.5.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9.5.1.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lastRenderedPageBreak/>
              <w:t>9.5.2.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9.5.3.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9.6.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0069D0" w:rsidRDefault="000069D0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</w:tcPr>
          <w:p w:rsidR="000069D0" w:rsidRDefault="000069D0">
            <w:pPr>
              <w:pStyle w:val="ConsPlusNormal"/>
            </w:pPr>
            <w:r>
              <w:t>9.6.1.</w:t>
            </w:r>
          </w:p>
        </w:tc>
        <w:tc>
          <w:tcPr>
            <w:tcW w:w="5608" w:type="dxa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9.6.2.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6,00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6,76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9,31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  <w:tr w:rsidR="000069D0" w:rsidTr="000069D0">
        <w:tc>
          <w:tcPr>
            <w:tcW w:w="629" w:type="dxa"/>
            <w:vMerge w:val="restart"/>
          </w:tcPr>
          <w:p w:rsidR="000069D0" w:rsidRDefault="000069D0">
            <w:pPr>
              <w:pStyle w:val="ConsPlusNormal"/>
            </w:pPr>
            <w:r>
              <w:t>9.6.3.</w:t>
            </w:r>
          </w:p>
        </w:tc>
        <w:tc>
          <w:tcPr>
            <w:tcW w:w="9472" w:type="dxa"/>
            <w:gridSpan w:val="6"/>
          </w:tcPr>
          <w:p w:rsidR="000069D0" w:rsidRDefault="000069D0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 </w:t>
            </w:r>
            <w:hyperlink w:anchor="P615">
              <w:r>
                <w:rPr>
                  <w:color w:val="0000FF"/>
                </w:rPr>
                <w:t>&lt;1&gt;</w:t>
              </w:r>
            </w:hyperlink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6,27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7,06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9,74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Полупиковая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5,22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5,88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7,20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8,11</w:t>
            </w:r>
          </w:p>
        </w:tc>
      </w:tr>
      <w:tr w:rsidR="000069D0" w:rsidTr="000069D0">
        <w:trPr>
          <w:gridAfter w:val="1"/>
          <w:wAfter w:w="8" w:type="dxa"/>
        </w:trPr>
        <w:tc>
          <w:tcPr>
            <w:tcW w:w="629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5608" w:type="dxa"/>
          </w:tcPr>
          <w:p w:rsidR="000069D0" w:rsidRDefault="000069D0">
            <w:pPr>
              <w:pStyle w:val="ConsPlusNormal"/>
              <w:ind w:left="283"/>
              <w:jc w:val="both"/>
            </w:pPr>
            <w:r>
              <w:t>Ночная зона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3,65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4,11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5,04</w:t>
            </w:r>
          </w:p>
        </w:tc>
        <w:tc>
          <w:tcPr>
            <w:tcW w:w="964" w:type="dxa"/>
          </w:tcPr>
          <w:p w:rsidR="000069D0" w:rsidRDefault="000069D0">
            <w:pPr>
              <w:pStyle w:val="ConsPlusNormal"/>
            </w:pPr>
            <w:r>
              <w:t>5,68</w:t>
            </w:r>
          </w:p>
        </w:tc>
      </w:tr>
    </w:tbl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  <w:r>
        <w:t>--------------------------------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6" w:name="P615"/>
      <w:bookmarkEnd w:id="6"/>
      <w: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7" w:name="P616"/>
      <w:bookmarkEnd w:id="7"/>
      <w:r>
        <w:t xml:space="preserve">&lt;2&gt;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36">
        <w:r>
          <w:rPr>
            <w:color w:val="0000FF"/>
          </w:rPr>
          <w:t>строке 1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8" w:name="P617"/>
      <w:bookmarkEnd w:id="8"/>
      <w:r>
        <w:t xml:space="preserve">&lt;3&gt;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43">
        <w:r>
          <w:rPr>
            <w:color w:val="0000FF"/>
          </w:rPr>
          <w:t>строке 2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9" w:name="P618"/>
      <w:bookmarkEnd w:id="9"/>
      <w:r>
        <w:t xml:space="preserve">&lt;4&gt;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50">
        <w:r>
          <w:rPr>
            <w:color w:val="0000FF"/>
          </w:rPr>
          <w:t>строке 3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10" w:name="P619"/>
      <w:bookmarkEnd w:id="10"/>
      <w:r>
        <w:t xml:space="preserve">&lt;5&gt;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57">
        <w:r>
          <w:rPr>
            <w:color w:val="0000FF"/>
          </w:rPr>
          <w:t>строке 4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11" w:name="P620"/>
      <w:bookmarkEnd w:id="11"/>
      <w:r>
        <w:lastRenderedPageBreak/>
        <w:t xml:space="preserve">&lt;6&gt;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64">
        <w:r>
          <w:rPr>
            <w:color w:val="0000FF"/>
          </w:rPr>
          <w:t>строке 5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12" w:name="P621"/>
      <w:bookmarkEnd w:id="12"/>
      <w:r>
        <w:t xml:space="preserve">&lt;7&gt;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71">
        <w:r>
          <w:rPr>
            <w:color w:val="0000FF"/>
          </w:rPr>
          <w:t>строке 6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13" w:name="P622"/>
      <w:bookmarkEnd w:id="13"/>
      <w:r>
        <w:t xml:space="preserve">&lt;8&gt;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678">
        <w:r>
          <w:rPr>
            <w:color w:val="0000FF"/>
          </w:rPr>
          <w:t>строке 7</w:t>
        </w:r>
      </w:hyperlink>
      <w:r>
        <w:t xml:space="preserve"> таблицы;</w:t>
      </w:r>
    </w:p>
    <w:p w:rsidR="000069D0" w:rsidRDefault="000069D0">
      <w:pPr>
        <w:pStyle w:val="ConsPlusNormal"/>
        <w:spacing w:before="220"/>
        <w:ind w:firstLine="540"/>
        <w:jc w:val="both"/>
      </w:pPr>
      <w:bookmarkStart w:id="14" w:name="P623"/>
      <w:bookmarkEnd w:id="14"/>
      <w:r>
        <w:t xml:space="preserve">&lt;9&gt; Понижающий коэффициент, примененный при установлении цен (тарифов) на электрическую энергию (мощность) по данной категории потребителей, приведен в </w:t>
      </w:r>
      <w:hyperlink w:anchor="P344">
        <w:r>
          <w:rPr>
            <w:color w:val="0000FF"/>
          </w:rPr>
          <w:t>строке 8</w:t>
        </w:r>
      </w:hyperlink>
      <w:r>
        <w:t xml:space="preserve"> таблицы.</w:t>
      </w:r>
    </w:p>
    <w:p w:rsidR="000069D0" w:rsidRDefault="000069D0">
      <w:pPr>
        <w:pStyle w:val="ConsPlusNormal"/>
        <w:jc w:val="both"/>
      </w:pPr>
      <w:r>
        <w:t xml:space="preserve">(сноска введена </w:t>
      </w:r>
      <w:hyperlink r:id="rId14">
        <w:r>
          <w:rPr>
            <w:color w:val="0000FF"/>
          </w:rPr>
          <w:t>Приказом</w:t>
        </w:r>
      </w:hyperlink>
      <w:r>
        <w:t xml:space="preserve"> Департамента государственного регулирования цен и тарифов Орловской области от 15.01.2025 N 1-Т)</w:t>
      </w: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jc w:val="right"/>
        <w:outlineLvl w:val="1"/>
      </w:pPr>
      <w:r>
        <w:t>Таблица</w:t>
      </w: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Title"/>
        <w:jc w:val="center"/>
      </w:pPr>
      <w:r>
        <w:t>ПОНИЖАЮЩИЕ КОЭФФИЦИЕНТЫ</w:t>
      </w:r>
    </w:p>
    <w:p w:rsidR="000069D0" w:rsidRDefault="000069D0">
      <w:pPr>
        <w:pStyle w:val="ConsPlusTitle"/>
        <w:jc w:val="center"/>
      </w:pPr>
      <w:r>
        <w:t>К ТАРИФАМ НА ЭЛЕКТРИЧЕСКУЮ ЭНЕРГИЮ (МОЩНОСТЬ)</w:t>
      </w:r>
    </w:p>
    <w:p w:rsidR="000069D0" w:rsidRDefault="000069D0">
      <w:pPr>
        <w:pStyle w:val="ConsPlusNormal"/>
        <w:ind w:firstLine="540"/>
        <w:jc w:val="both"/>
      </w:pPr>
    </w:p>
    <w:tbl>
      <w:tblPr>
        <w:tblW w:w="101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1"/>
        <w:gridCol w:w="1361"/>
        <w:gridCol w:w="1417"/>
      </w:tblGrid>
      <w:tr w:rsidR="000069D0" w:rsidTr="000069D0">
        <w:tc>
          <w:tcPr>
            <w:tcW w:w="510" w:type="dxa"/>
            <w:vMerge w:val="restart"/>
          </w:tcPr>
          <w:p w:rsidR="000069D0" w:rsidRDefault="000069D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861" w:type="dxa"/>
            <w:vMerge w:val="restart"/>
          </w:tcPr>
          <w:p w:rsidR="000069D0" w:rsidRDefault="000069D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778" w:type="dxa"/>
            <w:gridSpan w:val="2"/>
          </w:tcPr>
          <w:p w:rsidR="000069D0" w:rsidRDefault="000069D0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0069D0" w:rsidTr="000069D0">
        <w:tc>
          <w:tcPr>
            <w:tcW w:w="510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6861" w:type="dxa"/>
            <w:vMerge/>
          </w:tcPr>
          <w:p w:rsidR="000069D0" w:rsidRDefault="000069D0">
            <w:pPr>
              <w:pStyle w:val="ConsPlusNormal"/>
            </w:pPr>
          </w:p>
        </w:tc>
        <w:tc>
          <w:tcPr>
            <w:tcW w:w="1361" w:type="dxa"/>
          </w:tcPr>
          <w:p w:rsidR="000069D0" w:rsidRDefault="000069D0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15" w:name="P636"/>
            <w:bookmarkEnd w:id="15"/>
            <w:r>
              <w:t>1.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>
              <w:lastRenderedPageBreak/>
              <w:t>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lastRenderedPageBreak/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16" w:name="P643"/>
            <w:bookmarkEnd w:id="16"/>
            <w:r>
              <w:t>2.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17" w:name="P650"/>
            <w:bookmarkEnd w:id="17"/>
            <w:r>
              <w:t>3.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</w:t>
            </w:r>
            <w:r>
              <w:lastRenderedPageBreak/>
              <w:t>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lastRenderedPageBreak/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18" w:name="P657"/>
            <w:bookmarkEnd w:id="18"/>
            <w:r>
              <w:t>4.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19" w:name="P664"/>
            <w:bookmarkEnd w:id="19"/>
            <w:r>
              <w:t>5.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</w:t>
            </w:r>
            <w:r>
              <w:lastRenderedPageBreak/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lastRenderedPageBreak/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20" w:name="P671"/>
            <w:bookmarkEnd w:id="20"/>
            <w:r>
              <w:t>6.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bookmarkStart w:id="21" w:name="P678"/>
            <w:bookmarkEnd w:id="21"/>
            <w:r>
              <w:t>7.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657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671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>
              <w:lastRenderedPageBreak/>
              <w:t>пользователям жилых помещений и содержания общего имущества многоквартирных домов;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69D0" w:rsidRDefault="000069D0">
            <w:pPr>
              <w:pStyle w:val="ConsPlusNormal"/>
              <w:ind w:firstLine="283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lastRenderedPageBreak/>
              <w:t>0,70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0,71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r>
              <w:t>8.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r>
              <w:t>8.1.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r>
              <w:t>8.2.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r>
              <w:t>8.3.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</w:tr>
      <w:tr w:rsidR="000069D0" w:rsidTr="000069D0">
        <w:tc>
          <w:tcPr>
            <w:tcW w:w="510" w:type="dxa"/>
          </w:tcPr>
          <w:p w:rsidR="000069D0" w:rsidRDefault="000069D0">
            <w:pPr>
              <w:pStyle w:val="ConsPlusNormal"/>
            </w:pPr>
            <w:r>
              <w:t>8.4.</w:t>
            </w:r>
          </w:p>
        </w:tc>
        <w:tc>
          <w:tcPr>
            <w:tcW w:w="6861" w:type="dxa"/>
          </w:tcPr>
          <w:p w:rsidR="000069D0" w:rsidRDefault="000069D0">
            <w:pPr>
              <w:pStyle w:val="ConsPlusNormal"/>
              <w:ind w:firstLine="283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361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0069D0" w:rsidRDefault="000069D0">
            <w:pPr>
              <w:pStyle w:val="ConsPlusNormal"/>
            </w:pPr>
            <w:r>
              <w:t>1</w:t>
            </w:r>
          </w:p>
        </w:tc>
      </w:tr>
    </w:tbl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ind w:firstLine="540"/>
        <w:jc w:val="both"/>
      </w:pPr>
    </w:p>
    <w:p w:rsidR="000069D0" w:rsidRDefault="000069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 w:rsidSect="006B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D0"/>
    <w:rsid w:val="000069D0"/>
    <w:rsid w:val="0028511B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7FAA2-7FA7-40E8-85A6-A7B1FCB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69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6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69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69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69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69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69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94" TargetMode="External"/><Relationship Id="rId13" Type="http://schemas.openxmlformats.org/officeDocument/2006/relationships/hyperlink" Target="https://login.consultant.ru/link/?req=doc&amp;base=RLAW127&amp;n=101348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553" TargetMode="External"/><Relationship Id="rId12" Type="http://schemas.openxmlformats.org/officeDocument/2006/relationships/hyperlink" Target="https://login.consultant.ru/link/?req=doc&amp;base=RLAW127&amp;n=101348&amp;dst=10000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41" TargetMode="External"/><Relationship Id="rId11" Type="http://schemas.openxmlformats.org/officeDocument/2006/relationships/hyperlink" Target="https://login.consultant.ru/link/?req=doc&amp;base=RLAW127&amp;n=101348&amp;dst=100006" TargetMode="External"/><Relationship Id="rId5" Type="http://schemas.openxmlformats.org/officeDocument/2006/relationships/hyperlink" Target="https://login.consultant.ru/link/?req=doc&amp;base=RLAW127&amp;n=101348&amp;dst=100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933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9394" TargetMode="External"/><Relationship Id="rId14" Type="http://schemas.openxmlformats.org/officeDocument/2006/relationships/hyperlink" Target="https://login.consultant.ru/link/?req=doc&amp;base=RLAW127&amp;n=101348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6010</Words>
  <Characters>34261</Characters>
  <Application>Microsoft Office Word</Application>
  <DocSecurity>0</DocSecurity>
  <Lines>285</Lines>
  <Paragraphs>80</Paragraphs>
  <ScaleCrop>false</ScaleCrop>
  <Company/>
  <LinksUpToDate>false</LinksUpToDate>
  <CharactersWithSpaces>40191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2025-01-23T16:09:00Z</dcterms:created>
  <dcterms:modified xsi:type="dcterms:W3CDTF">2025-01-23T16:10:00Z</dcterms:modified>
</cp:coreProperties>
</file>